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Theme="majorEastAsia" w:hAnsiTheme="majorEastAsia" w:eastAsiaTheme="majorEastAsia"/>
          <w:b w:val="0"/>
          <w:bCs/>
          <w:sz w:val="44"/>
          <w:szCs w:val="44"/>
        </w:rPr>
      </w:pPr>
      <w:r>
        <w:rPr>
          <w:rFonts w:hint="eastAsia" w:asciiTheme="majorEastAsia" w:hAnsiTheme="majorEastAsia" w:eastAsiaTheme="majorEastAsia"/>
          <w:b w:val="0"/>
          <w:bCs/>
          <w:sz w:val="44"/>
          <w:szCs w:val="44"/>
        </w:rPr>
        <w:t>2016年</w:t>
      </w:r>
      <w:r>
        <w:rPr>
          <w:rFonts w:hint="eastAsia" w:asciiTheme="majorEastAsia" w:hAnsiTheme="majorEastAsia" w:eastAsiaTheme="majorEastAsia"/>
          <w:b w:val="0"/>
          <w:bCs/>
          <w:sz w:val="44"/>
          <w:szCs w:val="44"/>
          <w:lang w:eastAsia="zh-CN"/>
        </w:rPr>
        <w:t>度</w:t>
      </w:r>
      <w:r>
        <w:rPr>
          <w:rFonts w:hint="eastAsia" w:asciiTheme="majorEastAsia" w:hAnsiTheme="majorEastAsia" w:eastAsiaTheme="majorEastAsia"/>
          <w:b w:val="0"/>
          <w:bCs/>
          <w:sz w:val="44"/>
          <w:szCs w:val="44"/>
        </w:rPr>
        <w:t>三河市食品药品监督管理局</w:t>
      </w:r>
    </w:p>
    <w:p>
      <w:pPr>
        <w:widowControl/>
        <w:spacing w:line="520" w:lineRule="exact"/>
        <w:jc w:val="center"/>
        <w:rPr>
          <w:rFonts w:asciiTheme="majorEastAsia" w:hAnsiTheme="majorEastAsia" w:eastAsiaTheme="majorEastAsia"/>
          <w:b w:val="0"/>
          <w:bCs/>
          <w:sz w:val="44"/>
          <w:szCs w:val="44"/>
        </w:rPr>
      </w:pPr>
      <w:r>
        <w:rPr>
          <w:rFonts w:hint="eastAsia" w:asciiTheme="majorEastAsia" w:hAnsiTheme="majorEastAsia" w:eastAsiaTheme="majorEastAsia"/>
          <w:b w:val="0"/>
          <w:bCs/>
          <w:sz w:val="44"/>
          <w:szCs w:val="44"/>
          <w:lang w:eastAsia="zh-CN"/>
        </w:rPr>
        <w:t>部门</w:t>
      </w:r>
      <w:r>
        <w:rPr>
          <w:rFonts w:hint="eastAsia" w:asciiTheme="majorEastAsia" w:hAnsiTheme="majorEastAsia" w:eastAsiaTheme="majorEastAsia"/>
          <w:b w:val="0"/>
          <w:bCs/>
          <w:sz w:val="44"/>
          <w:szCs w:val="44"/>
        </w:rPr>
        <w:t>决算信息公开情况说明</w:t>
      </w:r>
    </w:p>
    <w:p>
      <w:pPr>
        <w:widowControl/>
        <w:spacing w:line="520" w:lineRule="exact"/>
        <w:jc w:val="center"/>
        <w:rPr>
          <w:rFonts w:ascii="仿宋_GB2312" w:hAnsi="仿宋" w:eastAsia="仿宋_GB2312"/>
          <w:color w:val="FF0000"/>
          <w:sz w:val="36"/>
          <w:szCs w:val="36"/>
        </w:rPr>
      </w:pP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按照《预算法》、《河北省财政厅关于印发&lt;河北省预决算公开操作规程实施细则&gt;的通知》（冀财预﹝2016﹞129号）等规定，现将2016年</w:t>
      </w:r>
      <w:r>
        <w:rPr>
          <w:rFonts w:hint="eastAsia" w:ascii="仿宋_GB2312" w:hAnsi="仿宋" w:eastAsia="仿宋_GB2312"/>
          <w:sz w:val="32"/>
          <w:szCs w:val="32"/>
          <w:lang w:eastAsia="zh-CN"/>
        </w:rPr>
        <w:t>度</w:t>
      </w:r>
      <w:r>
        <w:rPr>
          <w:rFonts w:hint="eastAsia" w:ascii="仿宋_GB2312" w:hAnsi="仿宋" w:eastAsia="仿宋_GB2312"/>
          <w:sz w:val="32"/>
          <w:szCs w:val="32"/>
        </w:rPr>
        <w:t>部门决算公开如下：</w:t>
      </w:r>
    </w:p>
    <w:p>
      <w:pPr>
        <w:widowControl/>
        <w:numPr>
          <w:ilvl w:val="0"/>
          <w:numId w:val="1"/>
        </w:num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部门职责及机构设置情况</w:t>
      </w:r>
    </w:p>
    <w:p>
      <w:pPr>
        <w:widowControl/>
        <w:spacing w:line="520" w:lineRule="exact"/>
        <w:ind w:firstLine="643" w:firstLineChars="200"/>
        <w:jc w:val="left"/>
        <w:rPr>
          <w:rFonts w:hint="eastAsia" w:ascii="楷体_GB2312" w:hAnsi="黑体" w:eastAsia="楷体_GB2312" w:cs="黑体"/>
          <w:b/>
          <w:sz w:val="32"/>
          <w:szCs w:val="32"/>
        </w:rPr>
      </w:pPr>
      <w:r>
        <w:rPr>
          <w:rFonts w:hint="eastAsia" w:ascii="楷体_GB2312" w:hAnsi="黑体" w:eastAsia="楷体_GB2312" w:cs="黑体"/>
          <w:b/>
          <w:sz w:val="32"/>
          <w:szCs w:val="32"/>
        </w:rPr>
        <w:t>部门职责：</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贯彻执行国家、省、市食品（含食品添如剂、保健食品，下同）、药品（含中药、民族药，下同）、医疗器械、化妆品监督管理的法律法规和方针政策。建立完善全市食品、药品、医疗器械、化妆品监管制度，推动建立落实企业主体责任和政府负总责的机制，并组织实施和监督检查。</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承担全市食品（含酒类）生产、流通、消费环节安全监督管理工作。根据食品安全风险监测方案开展食品安全风险监测。建立完善全市食品安全隐患排查治理机制，制定全市食品安全检查年度计划、重大整顿治理方案并组织落实。</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负责药品、医疗器械监督管理，监督实施国家药品、医疗器械标准，监督实施药品、医疗器械研制、生产、经营、使用方面的质量管理规范；建立药品不良反应、医疗器械不良反应事件和药物滥用检测体系，并开展监测和处置工作，配合实施国家基本药物制度。</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4、负责化妆品的监督管理和全市化妆品不良反应监测的管理。</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5、监督实施中药材生产质量管理规范、中药饮片炮制规范。依法实施中药品种保护制度。</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6、负责制定食品、药品、医疗器械、化妆品监督管理的稽查制度并组织实施，组织查处重大违法行为。监督实施问题产品召回和处置制度。</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7、负责食品药品安全事故应急体系建设，组织指导食品药品安全事故应急处置和调查处理工作，监督事故查处落实情况。</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8、负责建立食品、药品、医疗器械、化妆品安全信息统一发布制度和重大信息直报制度，公布重大安全信息。负责对食品、药品、医疗器械、化妆品等广告进行检查和监测。</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9、负责制定全市食品药品安全科技发展规划并组织实施，推动食品药品检验检测体系、电子监管追溯体系和信息化建设。</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10、负责开展食品药品安全宣传、教育培训、交流合作。推进诚信体系建设。</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11、按规定组织实施食品药品等从业人员的培训和执业资格准入制度。</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12、负责指导和监督全市食品药品监督管理工作，规范行政执法行为，推动完善行政执法与刑事司法衔接机制。</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13、承担三河市人民政府食品安全委员会日常工作。负责食品安全监督管理综合协调，推动健全协调联动机制。督促检查乡镇、开发区（园区）和市直有关部门履行食品药品安全监督管理职责，并负责考核评价。</w:t>
      </w:r>
    </w:p>
    <w:p>
      <w:pPr>
        <w:widowControl/>
        <w:spacing w:line="520" w:lineRule="exact"/>
        <w:ind w:firstLine="640" w:firstLineChars="200"/>
        <w:jc w:val="left"/>
        <w:rPr>
          <w:rFonts w:hint="eastAsia" w:ascii="楷体_GB2312" w:hAnsi="黑体" w:eastAsia="楷体_GB2312" w:cs="黑体"/>
          <w:b/>
          <w:sz w:val="32"/>
          <w:szCs w:val="32"/>
        </w:rPr>
      </w:pPr>
      <w:r>
        <w:rPr>
          <w:rFonts w:hint="eastAsia" w:ascii="仿宋_GB2312" w:hAnsi="仿宋" w:eastAsia="仿宋_GB2312"/>
          <w:sz w:val="32"/>
          <w:szCs w:val="32"/>
        </w:rPr>
        <w:t>14、承办市政府及市政府食品安全委员会交办的其他事项。</w:t>
      </w:r>
      <w:bookmarkStart w:id="1" w:name="_GoBack"/>
      <w:bookmarkEnd w:id="1"/>
    </w:p>
    <w:p>
      <w:pPr>
        <w:widowControl/>
        <w:spacing w:line="520" w:lineRule="exact"/>
        <w:ind w:firstLine="643" w:firstLineChars="200"/>
        <w:jc w:val="left"/>
        <w:rPr>
          <w:rFonts w:ascii="楷体_GB2312" w:hAnsi="黑体" w:eastAsia="楷体_GB2312" w:cs="黑体"/>
          <w:b/>
          <w:sz w:val="32"/>
          <w:szCs w:val="32"/>
        </w:rPr>
      </w:pPr>
      <w:r>
        <w:rPr>
          <w:rFonts w:hint="eastAsia" w:ascii="楷体_GB2312" w:hAnsi="黑体" w:eastAsia="楷体_GB2312" w:cs="黑体"/>
          <w:b/>
          <w:sz w:val="32"/>
          <w:szCs w:val="32"/>
        </w:rPr>
        <w:t>机构设置：</w:t>
      </w:r>
    </w:p>
    <w:p>
      <w:pPr>
        <w:spacing w:line="520" w:lineRule="exact"/>
        <w:jc w:val="center"/>
        <w:outlineLvl w:val="0"/>
        <w:rPr>
          <w:rFonts w:eastAsia="方正小标宋_GBK"/>
          <w:sz w:val="28"/>
          <w:szCs w:val="28"/>
        </w:rPr>
      </w:pPr>
      <w:r>
        <w:rPr>
          <w:rFonts w:eastAsia="方正小标宋_GBK"/>
          <w:sz w:val="28"/>
          <w:szCs w:val="28"/>
        </w:rPr>
        <w:t>部门机构设置情况</w:t>
      </w:r>
    </w:p>
    <w:tbl>
      <w:tblPr>
        <w:tblStyle w:val="5"/>
        <w:tblW w:w="91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6"/>
        <w:gridCol w:w="1887"/>
        <w:gridCol w:w="1190"/>
        <w:gridCol w:w="2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20" w:hRule="atLeast"/>
          <w:tblHeader/>
          <w:jc w:val="center"/>
        </w:trPr>
        <w:tc>
          <w:tcPr>
            <w:tcW w:w="3316" w:type="dxa"/>
            <w:vMerge w:val="restart"/>
            <w:vAlign w:val="center"/>
          </w:tcPr>
          <w:p>
            <w:pPr>
              <w:spacing w:line="520" w:lineRule="exact"/>
              <w:jc w:val="center"/>
              <w:rPr>
                <w:rFonts w:eastAsia="方正书宋_GBK"/>
                <w:b/>
              </w:rPr>
            </w:pPr>
            <w:r>
              <w:rPr>
                <w:rFonts w:eastAsia="方正书宋_GBK"/>
                <w:b/>
              </w:rPr>
              <w:t>单位名称</w:t>
            </w:r>
          </w:p>
        </w:tc>
        <w:tc>
          <w:tcPr>
            <w:tcW w:w="1887" w:type="dxa"/>
            <w:vMerge w:val="restart"/>
            <w:vAlign w:val="center"/>
          </w:tcPr>
          <w:p>
            <w:pPr>
              <w:spacing w:line="520" w:lineRule="exact"/>
              <w:jc w:val="center"/>
              <w:rPr>
                <w:rFonts w:eastAsia="方正书宋_GBK"/>
                <w:b/>
              </w:rPr>
            </w:pPr>
            <w:r>
              <w:rPr>
                <w:rFonts w:eastAsia="方正书宋_GBK"/>
                <w:b/>
              </w:rPr>
              <w:t>单位性质</w:t>
            </w:r>
          </w:p>
        </w:tc>
        <w:tc>
          <w:tcPr>
            <w:tcW w:w="1190" w:type="dxa"/>
            <w:vMerge w:val="restart"/>
            <w:vAlign w:val="center"/>
          </w:tcPr>
          <w:p>
            <w:pPr>
              <w:spacing w:line="520" w:lineRule="exact"/>
              <w:jc w:val="center"/>
              <w:rPr>
                <w:rFonts w:eastAsia="方正书宋_GBK"/>
                <w:b/>
              </w:rPr>
            </w:pPr>
            <w:r>
              <w:rPr>
                <w:rFonts w:eastAsia="方正书宋_GBK"/>
                <w:b/>
              </w:rPr>
              <w:t>单位规格</w:t>
            </w:r>
          </w:p>
        </w:tc>
        <w:tc>
          <w:tcPr>
            <w:tcW w:w="2707" w:type="dxa"/>
            <w:vMerge w:val="restart"/>
            <w:vAlign w:val="center"/>
          </w:tcPr>
          <w:p>
            <w:pPr>
              <w:spacing w:line="520" w:lineRule="exact"/>
              <w:jc w:val="center"/>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tblHeader/>
          <w:jc w:val="center"/>
        </w:trPr>
        <w:tc>
          <w:tcPr>
            <w:tcW w:w="3316" w:type="dxa"/>
            <w:vMerge w:val="continue"/>
            <w:vAlign w:val="center"/>
          </w:tcPr>
          <w:p>
            <w:pPr>
              <w:spacing w:line="520" w:lineRule="exact"/>
              <w:jc w:val="left"/>
              <w:outlineLvl w:val="0"/>
            </w:pPr>
          </w:p>
        </w:tc>
        <w:tc>
          <w:tcPr>
            <w:tcW w:w="1887" w:type="dxa"/>
            <w:vMerge w:val="continue"/>
            <w:vAlign w:val="center"/>
          </w:tcPr>
          <w:p>
            <w:pPr>
              <w:spacing w:line="520" w:lineRule="exact"/>
              <w:jc w:val="left"/>
              <w:outlineLvl w:val="0"/>
            </w:pPr>
          </w:p>
        </w:tc>
        <w:tc>
          <w:tcPr>
            <w:tcW w:w="1190" w:type="dxa"/>
            <w:vMerge w:val="continue"/>
            <w:vAlign w:val="center"/>
          </w:tcPr>
          <w:p>
            <w:pPr>
              <w:spacing w:line="520" w:lineRule="exact"/>
              <w:jc w:val="left"/>
              <w:outlineLvl w:val="0"/>
            </w:pPr>
          </w:p>
        </w:tc>
        <w:tc>
          <w:tcPr>
            <w:tcW w:w="2707" w:type="dxa"/>
            <w:vMerge w:val="continue"/>
            <w:vAlign w:val="center"/>
          </w:tcPr>
          <w:p>
            <w:pPr>
              <w:spacing w:line="52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21" w:hRule="atLeast"/>
          <w:jc w:val="center"/>
        </w:trPr>
        <w:tc>
          <w:tcPr>
            <w:tcW w:w="3316" w:type="dxa"/>
            <w:vAlign w:val="center"/>
          </w:tcPr>
          <w:p>
            <w:pPr>
              <w:spacing w:line="520" w:lineRule="exact"/>
              <w:jc w:val="center"/>
              <w:rPr>
                <w:rFonts w:eastAsia="方正书宋_GBK"/>
              </w:rPr>
            </w:pPr>
            <w:r>
              <w:rPr>
                <w:rFonts w:hint="eastAsia" w:eastAsia="方正书宋_GBK"/>
              </w:rPr>
              <w:t>三河市食品药品监督管理局</w:t>
            </w:r>
          </w:p>
        </w:tc>
        <w:tc>
          <w:tcPr>
            <w:tcW w:w="1887" w:type="dxa"/>
            <w:vAlign w:val="center"/>
          </w:tcPr>
          <w:p>
            <w:pPr>
              <w:spacing w:line="520" w:lineRule="exact"/>
              <w:jc w:val="center"/>
              <w:rPr>
                <w:rFonts w:eastAsia="方正书宋_GBK"/>
              </w:rPr>
            </w:pPr>
            <w:r>
              <w:rPr>
                <w:rFonts w:eastAsia="方正书宋_GBK"/>
              </w:rPr>
              <w:t>行政</w:t>
            </w:r>
          </w:p>
        </w:tc>
        <w:tc>
          <w:tcPr>
            <w:tcW w:w="1190" w:type="dxa"/>
            <w:vAlign w:val="center"/>
          </w:tcPr>
          <w:p>
            <w:pPr>
              <w:spacing w:line="520" w:lineRule="exact"/>
              <w:jc w:val="center"/>
              <w:rPr>
                <w:rFonts w:eastAsia="方正书宋_GBK"/>
              </w:rPr>
            </w:pPr>
            <w:r>
              <w:rPr>
                <w:rFonts w:eastAsia="方正书宋_GBK"/>
              </w:rPr>
              <w:t>正</w:t>
            </w:r>
            <w:r>
              <w:rPr>
                <w:rFonts w:hint="eastAsia" w:eastAsia="方正书宋_GBK"/>
              </w:rPr>
              <w:t>科</w:t>
            </w:r>
            <w:r>
              <w:rPr>
                <w:rFonts w:eastAsia="方正书宋_GBK"/>
              </w:rPr>
              <w:t>级</w:t>
            </w:r>
          </w:p>
        </w:tc>
        <w:tc>
          <w:tcPr>
            <w:tcW w:w="2707" w:type="dxa"/>
            <w:vAlign w:val="center"/>
          </w:tcPr>
          <w:p>
            <w:pPr>
              <w:spacing w:line="520" w:lineRule="exact"/>
              <w:jc w:val="center"/>
              <w:rPr>
                <w:rFonts w:eastAsia="方正书宋_GBK"/>
              </w:rPr>
            </w:pPr>
            <w:r>
              <w:rPr>
                <w:rFonts w:eastAsia="方正书宋_GBK"/>
              </w:rPr>
              <w:t>财政拨款</w:t>
            </w:r>
          </w:p>
        </w:tc>
      </w:tr>
    </w:tbl>
    <w:p>
      <w:pPr>
        <w:widowControl/>
        <w:spacing w:line="520" w:lineRule="exact"/>
        <w:ind w:firstLine="643" w:firstLineChars="200"/>
        <w:jc w:val="left"/>
        <w:rPr>
          <w:rFonts w:hint="eastAsia" w:ascii="仿宋_GB2312" w:hAnsi="黑体" w:eastAsia="仿宋_GB2312" w:cs="黑体"/>
          <w:b/>
          <w:sz w:val="32"/>
          <w:szCs w:val="32"/>
        </w:rPr>
      </w:pPr>
      <w:r>
        <w:rPr>
          <w:rFonts w:hint="eastAsia" w:ascii="仿宋_GB2312" w:hAnsi="黑体" w:eastAsia="仿宋_GB2312" w:cs="黑体"/>
          <w:b/>
          <w:sz w:val="32"/>
          <w:szCs w:val="32"/>
        </w:rPr>
        <w:t>注：我单位无下属单位</w:t>
      </w:r>
    </w:p>
    <w:p>
      <w:pPr>
        <w:snapToGrid w:val="0"/>
        <w:spacing w:line="520" w:lineRule="exact"/>
        <w:ind w:firstLine="640"/>
        <w:rPr>
          <w:rFonts w:eastAsia="黑体"/>
          <w:sz w:val="32"/>
          <w:szCs w:val="32"/>
        </w:rPr>
      </w:pPr>
      <w:r>
        <w:rPr>
          <w:rFonts w:hint="eastAsia" w:eastAsia="黑体"/>
          <w:sz w:val="32"/>
          <w:szCs w:val="32"/>
        </w:rPr>
        <w:t>二、部门决算报表（附件）</w:t>
      </w:r>
    </w:p>
    <w:p>
      <w:pPr>
        <w:ind w:firstLine="640"/>
        <w:rPr>
          <w:rFonts w:hint="eastAsia"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2016年部门决算情况说明</w:t>
      </w:r>
    </w:p>
    <w:p>
      <w:pPr>
        <w:widowControl/>
        <w:spacing w:line="520" w:lineRule="exact"/>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我单位为一级预算单位，无下属单位，无汇总决算。</w:t>
      </w:r>
    </w:p>
    <w:p>
      <w:pPr>
        <w:numPr>
          <w:ilvl w:val="0"/>
          <w:numId w:val="2"/>
        </w:numPr>
        <w:spacing w:line="540" w:lineRule="exact"/>
        <w:ind w:firstLine="630" w:firstLineChars="196"/>
        <w:rPr>
          <w:rFonts w:hint="eastAsia" w:ascii="楷体_GB2312" w:hAnsi="黑体" w:eastAsia="楷体_GB2312" w:cs="黑体"/>
          <w:b/>
          <w:sz w:val="32"/>
          <w:szCs w:val="32"/>
        </w:rPr>
      </w:pPr>
      <w:r>
        <w:rPr>
          <w:rFonts w:hint="eastAsia" w:ascii="楷体_GB2312" w:hAnsi="黑体" w:eastAsia="楷体_GB2312" w:cs="黑体"/>
          <w:b/>
          <w:sz w:val="32"/>
          <w:szCs w:val="32"/>
        </w:rPr>
        <w:t>、收入支出决算总体情况说明。</w:t>
      </w:r>
    </w:p>
    <w:p>
      <w:pPr>
        <w:widowControl/>
        <w:spacing w:line="520" w:lineRule="exact"/>
        <w:ind w:firstLine="640" w:firstLineChars="200"/>
        <w:jc w:val="left"/>
        <w:rPr>
          <w:rFonts w:hint="eastAsia" w:ascii="仿宋_GB2312" w:hAnsi="仿宋" w:eastAsia="仿宋_GB2312"/>
          <w:color w:val="auto"/>
          <w:sz w:val="32"/>
          <w:szCs w:val="32"/>
        </w:rPr>
      </w:pPr>
      <w:r>
        <w:rPr>
          <w:rFonts w:hint="eastAsia" w:ascii="仿宋_GB2312" w:hAnsi="仿宋" w:eastAsia="仿宋_GB2312"/>
          <w:sz w:val="32"/>
          <w:szCs w:val="32"/>
        </w:rPr>
        <w:t>反映本部门当年全部收入与支出。2016</w:t>
      </w:r>
      <w:r>
        <w:rPr>
          <w:rFonts w:ascii="仿宋_GB2312" w:hAnsi="仿宋" w:eastAsia="仿宋_GB2312"/>
          <w:sz w:val="32"/>
          <w:szCs w:val="32"/>
        </w:rPr>
        <w:t>年</w:t>
      </w:r>
      <w:r>
        <w:rPr>
          <w:rFonts w:hint="eastAsia" w:ascii="仿宋_GB2312" w:hAnsi="仿宋" w:eastAsia="仿宋_GB2312"/>
          <w:sz w:val="32"/>
          <w:szCs w:val="32"/>
          <w:lang w:eastAsia="zh-CN"/>
        </w:rPr>
        <w:t>度决算</w:t>
      </w:r>
      <w:r>
        <w:rPr>
          <w:rFonts w:hint="eastAsia" w:ascii="仿宋_GB2312" w:hAnsi="仿宋" w:eastAsia="仿宋_GB2312"/>
          <w:sz w:val="32"/>
          <w:szCs w:val="32"/>
        </w:rPr>
        <w:t>收入2092.19</w:t>
      </w:r>
      <w:r>
        <w:rPr>
          <w:rFonts w:ascii="仿宋_GB2312" w:hAnsi="仿宋" w:eastAsia="仿宋_GB2312"/>
          <w:sz w:val="32"/>
          <w:szCs w:val="32"/>
        </w:rPr>
        <w:t>万元，较201</w:t>
      </w:r>
      <w:r>
        <w:rPr>
          <w:rFonts w:hint="eastAsia" w:ascii="仿宋_GB2312" w:hAnsi="仿宋" w:eastAsia="仿宋_GB2312"/>
          <w:sz w:val="32"/>
          <w:szCs w:val="32"/>
        </w:rPr>
        <w:t>5年</w:t>
      </w:r>
      <w:r>
        <w:rPr>
          <w:rFonts w:hint="eastAsia" w:ascii="仿宋_GB2312" w:hAnsi="仿宋" w:eastAsia="仿宋_GB2312"/>
          <w:sz w:val="32"/>
          <w:szCs w:val="32"/>
          <w:lang w:eastAsia="zh-CN"/>
        </w:rPr>
        <w:t>度</w:t>
      </w:r>
      <w:r>
        <w:rPr>
          <w:rFonts w:hint="eastAsia" w:ascii="仿宋_GB2312" w:hAnsi="仿宋" w:eastAsia="仿宋_GB2312"/>
          <w:sz w:val="32"/>
          <w:szCs w:val="32"/>
        </w:rPr>
        <w:t>的</w:t>
      </w:r>
      <w:r>
        <w:rPr>
          <w:rFonts w:hint="eastAsia" w:ascii="仿宋_GB2312" w:hAnsi="仿宋" w:eastAsia="仿宋_GB2312"/>
          <w:sz w:val="32"/>
          <w:szCs w:val="32"/>
          <w:lang w:eastAsia="zh-CN"/>
        </w:rPr>
        <w:t>决算收入</w:t>
      </w:r>
      <w:r>
        <w:rPr>
          <w:rFonts w:hint="eastAsia" w:ascii="仿宋_GB2312" w:hAnsi="仿宋" w:eastAsia="仿宋_GB2312"/>
          <w:sz w:val="32"/>
          <w:szCs w:val="32"/>
        </w:rPr>
        <w:t>876.07万元增加1216.12</w:t>
      </w:r>
      <w:r>
        <w:rPr>
          <w:rFonts w:ascii="仿宋_GB2312" w:hAnsi="仿宋" w:eastAsia="仿宋_GB2312"/>
          <w:sz w:val="32"/>
          <w:szCs w:val="32"/>
        </w:rPr>
        <w:t>万元</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较</w:t>
      </w:r>
      <w:r>
        <w:rPr>
          <w:rFonts w:hint="eastAsia" w:ascii="仿宋_GB2312" w:hAnsi="仿宋" w:eastAsia="仿宋_GB2312"/>
          <w:color w:val="auto"/>
          <w:sz w:val="32"/>
          <w:szCs w:val="32"/>
          <w:lang w:val="en-US"/>
        </w:rPr>
        <w:t>2016</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eastAsia="zh-CN"/>
        </w:rPr>
        <w:t>度</w:t>
      </w:r>
      <w:r>
        <w:rPr>
          <w:rFonts w:hint="eastAsia" w:ascii="仿宋_GB2312" w:hAnsi="仿宋" w:eastAsia="仿宋_GB2312"/>
          <w:color w:val="auto"/>
          <w:sz w:val="32"/>
          <w:szCs w:val="32"/>
        </w:rPr>
        <w:t>预算收入</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lang w:val="en-US"/>
        </w:rPr>
        <w:t>1764.54</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增加</w:t>
      </w:r>
      <w:r>
        <w:rPr>
          <w:rFonts w:hint="eastAsia" w:ascii="仿宋_GB2312" w:hAnsi="仿宋" w:eastAsia="仿宋_GB2312"/>
          <w:color w:val="auto"/>
          <w:sz w:val="32"/>
          <w:szCs w:val="32"/>
          <w:lang w:val="en-US" w:eastAsia="zh-CN"/>
        </w:rPr>
        <w:t>327.65万元，</w:t>
      </w:r>
      <w:r>
        <w:rPr>
          <w:rFonts w:hint="eastAsia" w:ascii="仿宋_GB2312" w:hAnsi="仿宋" w:eastAsia="仿宋_GB2312"/>
          <w:color w:val="auto"/>
          <w:sz w:val="32"/>
          <w:szCs w:val="32"/>
        </w:rPr>
        <w:t>其中：财政拨款收入2089.95万元，事业收入0万元，经营收入0万元，附属单位上缴收入0万元，其他收入2.24万元，年初和结余资金81.80万元。2016年</w:t>
      </w:r>
      <w:r>
        <w:rPr>
          <w:rFonts w:hint="eastAsia" w:ascii="仿宋_GB2312" w:hAnsi="仿宋" w:eastAsia="仿宋_GB2312"/>
          <w:color w:val="auto"/>
          <w:sz w:val="32"/>
          <w:szCs w:val="32"/>
          <w:lang w:eastAsia="zh-CN"/>
        </w:rPr>
        <w:t>度</w:t>
      </w:r>
      <w:r>
        <w:rPr>
          <w:rFonts w:hint="eastAsia" w:ascii="仿宋_GB2312" w:hAnsi="仿宋" w:eastAsia="仿宋_GB2312"/>
          <w:color w:val="auto"/>
          <w:sz w:val="32"/>
          <w:szCs w:val="32"/>
        </w:rPr>
        <w:t>决算支出1802.85万元，较2015年</w:t>
      </w:r>
      <w:r>
        <w:rPr>
          <w:rFonts w:hint="eastAsia" w:ascii="仿宋_GB2312" w:hAnsi="仿宋" w:eastAsia="仿宋_GB2312"/>
          <w:color w:val="auto"/>
          <w:sz w:val="32"/>
          <w:szCs w:val="32"/>
          <w:lang w:eastAsia="zh-CN"/>
        </w:rPr>
        <w:t>度的决算支出</w:t>
      </w:r>
      <w:r>
        <w:rPr>
          <w:rFonts w:hint="eastAsia" w:ascii="仿宋_GB2312" w:hAnsi="仿宋" w:eastAsia="仿宋_GB2312"/>
          <w:color w:val="auto"/>
          <w:sz w:val="32"/>
          <w:szCs w:val="32"/>
        </w:rPr>
        <w:t>844.05万元增加958.80万元</w:t>
      </w:r>
      <w:r>
        <w:rPr>
          <w:rFonts w:hint="eastAsia" w:ascii="仿宋_GB2312" w:hAnsi="仿宋" w:eastAsia="仿宋_GB2312"/>
          <w:color w:val="auto"/>
          <w:sz w:val="32"/>
          <w:szCs w:val="32"/>
          <w:lang w:eastAsia="zh-CN"/>
        </w:rPr>
        <w:t>，较</w:t>
      </w:r>
      <w:r>
        <w:rPr>
          <w:rFonts w:hint="eastAsia" w:ascii="仿宋_GB2312" w:hAnsi="仿宋" w:eastAsia="仿宋_GB2312"/>
          <w:color w:val="auto"/>
          <w:sz w:val="32"/>
          <w:szCs w:val="32"/>
          <w:lang w:val="en-US"/>
        </w:rPr>
        <w:t>2016</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eastAsia="zh-CN"/>
        </w:rPr>
        <w:t>度</w:t>
      </w:r>
      <w:r>
        <w:rPr>
          <w:rFonts w:hint="eastAsia" w:ascii="仿宋_GB2312" w:hAnsi="仿宋" w:eastAsia="仿宋_GB2312"/>
          <w:color w:val="auto"/>
          <w:sz w:val="32"/>
          <w:szCs w:val="32"/>
        </w:rPr>
        <w:t>预算支出</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lang w:val="en-US"/>
        </w:rPr>
        <w:t>1764.54</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增加</w:t>
      </w:r>
      <w:r>
        <w:rPr>
          <w:rFonts w:hint="eastAsia" w:ascii="仿宋_GB2312" w:hAnsi="仿宋" w:eastAsia="仿宋_GB2312"/>
          <w:color w:val="auto"/>
          <w:sz w:val="32"/>
          <w:szCs w:val="32"/>
          <w:lang w:val="en-US" w:eastAsia="zh-CN"/>
        </w:rPr>
        <w:t>38.31万元，</w:t>
      </w:r>
      <w:r>
        <w:rPr>
          <w:rFonts w:hint="eastAsia" w:ascii="仿宋_GB2312" w:hAnsi="仿宋" w:eastAsia="仿宋_GB2312"/>
          <w:color w:val="auto"/>
          <w:sz w:val="32"/>
          <w:szCs w:val="32"/>
        </w:rPr>
        <w:t>其中：社会保障和就业支出82.41万元，医疗卫生与计划生育支出1669.11万元，住房保障支出51.34万元。</w:t>
      </w:r>
      <w:r>
        <w:rPr>
          <w:rFonts w:hint="eastAsia" w:ascii="仿宋_GB2312" w:hAnsi="仿宋_GB2312" w:eastAsia="仿宋_GB2312"/>
          <w:color w:val="auto"/>
          <w:sz w:val="32"/>
          <w:szCs w:val="30"/>
        </w:rPr>
        <w:t>主要原因是：</w:t>
      </w:r>
      <w:r>
        <w:rPr>
          <w:rFonts w:hint="eastAsia" w:ascii="仿宋_GB2312" w:hAnsi="仿宋_GB2312" w:eastAsia="仿宋_GB2312"/>
          <w:color w:val="auto"/>
          <w:sz w:val="32"/>
          <w:szCs w:val="30"/>
          <w:lang w:eastAsia="zh-CN"/>
        </w:rPr>
        <w:t>业务规模增加、监管范围扩大、行政执法人员增多，人员经费和日常运转经费相应提高。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黑体" w:eastAsia="楷体_GB2312" w:cs="黑体"/>
          <w:b/>
          <w:color w:val="auto"/>
          <w:sz w:val="32"/>
          <w:szCs w:val="32"/>
        </w:rPr>
      </w:pPr>
      <w:r>
        <w:rPr>
          <w:rFonts w:hint="eastAsia" w:ascii="楷体_GB2312" w:hAnsi="黑体" w:eastAsia="楷体_GB2312" w:cs="黑体"/>
          <w:b/>
          <w:color w:val="auto"/>
          <w:sz w:val="32"/>
          <w:szCs w:val="32"/>
        </w:rPr>
        <w:t>（二）收入决算情况说明。</w:t>
      </w:r>
    </w:p>
    <w:p>
      <w:pPr>
        <w:spacing w:line="540" w:lineRule="exact"/>
        <w:ind w:firstLine="627" w:firstLineChars="196"/>
        <w:rPr>
          <w:rFonts w:ascii="仿宋_GB2312" w:hAnsi="仿宋" w:eastAsia="仿宋_GB2312"/>
          <w:sz w:val="32"/>
          <w:szCs w:val="32"/>
        </w:rPr>
      </w:pPr>
      <w:r>
        <w:rPr>
          <w:rFonts w:hint="eastAsia" w:ascii="仿宋_GB2312" w:hAnsi="仿宋" w:eastAsia="仿宋_GB2312"/>
          <w:sz w:val="32"/>
          <w:szCs w:val="32"/>
        </w:rPr>
        <w:t>反映本部门当年一般公共预算拨款、政府性基金预算财政拨款和其他来源收入。2016年</w:t>
      </w:r>
      <w:r>
        <w:rPr>
          <w:rFonts w:hint="eastAsia" w:ascii="仿宋_GB2312" w:hAnsi="仿宋" w:eastAsia="仿宋_GB2312"/>
          <w:sz w:val="32"/>
          <w:szCs w:val="32"/>
          <w:lang w:eastAsia="zh-CN"/>
        </w:rPr>
        <w:t>度</w:t>
      </w:r>
      <w:r>
        <w:rPr>
          <w:rFonts w:hint="eastAsia" w:ascii="仿宋_GB2312" w:hAnsi="仿宋" w:eastAsia="仿宋_GB2312"/>
          <w:sz w:val="32"/>
          <w:szCs w:val="32"/>
        </w:rPr>
        <w:t>部门决算收入2092.19万元，其中：财政拨款收入2089.95万元，事业收入0万元，其他收入2.24万元。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黑体" w:eastAsia="楷体_GB2312" w:cs="黑体"/>
          <w:b/>
          <w:sz w:val="32"/>
          <w:szCs w:val="32"/>
        </w:rPr>
      </w:pPr>
      <w:r>
        <w:rPr>
          <w:rFonts w:hint="eastAsia" w:ascii="楷体_GB2312" w:hAnsi="黑体" w:eastAsia="楷体_GB2312" w:cs="黑体"/>
          <w:b/>
          <w:sz w:val="32"/>
          <w:szCs w:val="32"/>
        </w:rPr>
        <w:t>（三）支出决算情况说明</w:t>
      </w:r>
    </w:p>
    <w:p>
      <w:pPr>
        <w:widowControl/>
        <w:spacing w:line="520" w:lineRule="exact"/>
        <w:ind w:firstLine="640" w:firstLineChars="200"/>
        <w:jc w:val="left"/>
        <w:rPr>
          <w:rFonts w:ascii="仿宋_GB2312" w:hAnsi="仿宋" w:eastAsia="仿宋_GB2312"/>
          <w:sz w:val="32"/>
          <w:szCs w:val="32"/>
        </w:rPr>
      </w:pPr>
      <w:r>
        <w:rPr>
          <w:rFonts w:ascii="仿宋_GB2312" w:hAnsi="仿宋" w:eastAsia="仿宋_GB2312"/>
          <w:sz w:val="32"/>
          <w:szCs w:val="32"/>
        </w:rPr>
        <w:t>201</w:t>
      </w:r>
      <w:r>
        <w:rPr>
          <w:rFonts w:hint="eastAsia" w:ascii="仿宋_GB2312" w:hAnsi="仿宋" w:eastAsia="仿宋_GB2312"/>
          <w:sz w:val="32"/>
          <w:szCs w:val="32"/>
        </w:rPr>
        <w:t>6</w:t>
      </w:r>
      <w:r>
        <w:rPr>
          <w:rFonts w:ascii="仿宋_GB2312" w:hAnsi="仿宋" w:eastAsia="仿宋_GB2312"/>
          <w:sz w:val="32"/>
          <w:szCs w:val="32"/>
        </w:rPr>
        <w:t>年</w:t>
      </w:r>
      <w:r>
        <w:rPr>
          <w:rFonts w:hint="eastAsia" w:ascii="仿宋_GB2312" w:hAnsi="仿宋" w:eastAsia="仿宋_GB2312"/>
          <w:sz w:val="32"/>
          <w:szCs w:val="32"/>
          <w:lang w:eastAsia="zh-CN"/>
        </w:rPr>
        <w:t>度</w:t>
      </w:r>
      <w:r>
        <w:rPr>
          <w:rFonts w:ascii="仿宋_GB2312" w:hAnsi="仿宋" w:eastAsia="仿宋_GB2312"/>
          <w:sz w:val="32"/>
          <w:szCs w:val="32"/>
        </w:rPr>
        <w:t>部门</w:t>
      </w:r>
      <w:r>
        <w:rPr>
          <w:rFonts w:hint="eastAsia" w:ascii="仿宋_GB2312" w:hAnsi="仿宋" w:eastAsia="仿宋_GB2312"/>
          <w:sz w:val="32"/>
          <w:szCs w:val="32"/>
        </w:rPr>
        <w:t>决</w:t>
      </w:r>
      <w:r>
        <w:rPr>
          <w:rFonts w:ascii="仿宋_GB2312" w:hAnsi="仿宋" w:eastAsia="仿宋_GB2312"/>
          <w:sz w:val="32"/>
          <w:szCs w:val="32"/>
        </w:rPr>
        <w:t>算支出为</w:t>
      </w:r>
      <w:r>
        <w:rPr>
          <w:rFonts w:hint="eastAsia" w:ascii="仿宋_GB2312" w:hAnsi="仿宋" w:eastAsia="仿宋_GB2312"/>
          <w:sz w:val="32"/>
          <w:szCs w:val="32"/>
        </w:rPr>
        <w:t>1802.85</w:t>
      </w:r>
      <w:r>
        <w:rPr>
          <w:rFonts w:ascii="仿宋_GB2312" w:hAnsi="仿宋" w:eastAsia="仿宋_GB2312"/>
          <w:sz w:val="32"/>
          <w:szCs w:val="32"/>
        </w:rPr>
        <w:t>万元，其中：基本支出</w:t>
      </w:r>
      <w:r>
        <w:rPr>
          <w:rFonts w:hint="eastAsia" w:ascii="仿宋_GB2312" w:hAnsi="仿宋" w:eastAsia="仿宋_GB2312"/>
          <w:sz w:val="32"/>
          <w:szCs w:val="32"/>
        </w:rPr>
        <w:t>822.54</w:t>
      </w:r>
      <w:r>
        <w:rPr>
          <w:rFonts w:ascii="仿宋_GB2312" w:hAnsi="仿宋" w:eastAsia="仿宋_GB2312"/>
          <w:sz w:val="32"/>
          <w:szCs w:val="32"/>
        </w:rPr>
        <w:t>万元，包含人员经</w:t>
      </w:r>
      <w:r>
        <w:rPr>
          <w:rFonts w:hint="eastAsia" w:ascii="仿宋_GB2312" w:hAnsi="仿宋" w:eastAsia="仿宋_GB2312"/>
          <w:sz w:val="32"/>
          <w:szCs w:val="32"/>
        </w:rPr>
        <w:t>费支出799.69万元</w:t>
      </w:r>
      <w:r>
        <w:rPr>
          <w:rFonts w:ascii="仿宋_GB2312" w:hAnsi="仿宋" w:eastAsia="仿宋_GB2312"/>
          <w:sz w:val="32"/>
          <w:szCs w:val="32"/>
        </w:rPr>
        <w:t>和日常公用经</w:t>
      </w:r>
      <w:r>
        <w:rPr>
          <w:rFonts w:hint="eastAsia" w:ascii="仿宋_GB2312" w:hAnsi="仿宋" w:eastAsia="仿宋_GB2312"/>
          <w:sz w:val="32"/>
          <w:szCs w:val="32"/>
        </w:rPr>
        <w:t>费支出22.85万元</w:t>
      </w:r>
      <w:r>
        <w:rPr>
          <w:rFonts w:ascii="仿宋_GB2312" w:hAnsi="仿宋" w:eastAsia="仿宋_GB2312"/>
          <w:sz w:val="32"/>
          <w:szCs w:val="32"/>
        </w:rPr>
        <w:t>；项目支出</w:t>
      </w:r>
      <w:r>
        <w:rPr>
          <w:rFonts w:hint="eastAsia" w:ascii="仿宋_GB2312" w:hAnsi="仿宋" w:eastAsia="仿宋_GB2312"/>
          <w:sz w:val="32"/>
          <w:szCs w:val="32"/>
        </w:rPr>
        <w:t>980.31</w:t>
      </w:r>
      <w:r>
        <w:rPr>
          <w:rFonts w:ascii="仿宋_GB2312" w:hAnsi="仿宋" w:eastAsia="仿宋_GB2312"/>
          <w:sz w:val="32"/>
          <w:szCs w:val="32"/>
        </w:rPr>
        <w:t>万元。</w:t>
      </w:r>
    </w:p>
    <w:p>
      <w:pPr>
        <w:widowControl/>
        <w:spacing w:line="520" w:lineRule="exact"/>
        <w:ind w:firstLine="643" w:firstLineChars="200"/>
        <w:jc w:val="left"/>
        <w:rPr>
          <w:rFonts w:hint="eastAsia" w:ascii="楷体_GB2312" w:hAnsi="黑体" w:eastAsia="楷体_GB2312" w:cs="黑体"/>
          <w:b/>
          <w:sz w:val="32"/>
          <w:szCs w:val="32"/>
        </w:rPr>
      </w:pPr>
      <w:r>
        <w:rPr>
          <w:rFonts w:hint="eastAsia" w:ascii="楷体_GB2312" w:hAnsi="黑体" w:eastAsia="楷体_GB2312" w:cs="黑体"/>
          <w:b/>
          <w:sz w:val="32"/>
          <w:szCs w:val="32"/>
        </w:rPr>
        <w:t>（四）财政拨款收入支出决算总体情况说明。</w:t>
      </w:r>
    </w:p>
    <w:p>
      <w:pPr>
        <w:widowControl/>
        <w:spacing w:line="52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ascii="仿宋_GB2312" w:hAnsi="仿宋" w:eastAsia="仿宋_GB2312"/>
          <w:sz w:val="32"/>
          <w:szCs w:val="32"/>
        </w:rPr>
        <w:t>201</w:t>
      </w:r>
      <w:r>
        <w:rPr>
          <w:rFonts w:hint="eastAsia" w:ascii="仿宋_GB2312" w:hAnsi="仿宋" w:eastAsia="仿宋_GB2312"/>
          <w:sz w:val="32"/>
          <w:szCs w:val="32"/>
        </w:rPr>
        <w:t>6</w:t>
      </w:r>
      <w:r>
        <w:rPr>
          <w:rFonts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财政拨款收入决算总计2092.19万元，</w:t>
      </w:r>
      <w:r>
        <w:rPr>
          <w:rFonts w:ascii="仿宋_GB2312" w:hAnsi="仿宋" w:eastAsia="仿宋_GB2312"/>
          <w:sz w:val="32"/>
          <w:szCs w:val="32"/>
        </w:rPr>
        <w:t>较201</w:t>
      </w:r>
      <w:r>
        <w:rPr>
          <w:rFonts w:hint="eastAsia" w:ascii="仿宋_GB2312" w:hAnsi="仿宋" w:eastAsia="仿宋_GB2312"/>
          <w:sz w:val="32"/>
          <w:szCs w:val="32"/>
        </w:rPr>
        <w:t>5年</w:t>
      </w:r>
      <w:r>
        <w:rPr>
          <w:rFonts w:hint="eastAsia" w:ascii="仿宋_GB2312" w:hAnsi="仿宋" w:eastAsia="仿宋_GB2312"/>
          <w:sz w:val="32"/>
          <w:szCs w:val="32"/>
          <w:lang w:eastAsia="zh-CN"/>
        </w:rPr>
        <w:t>度</w:t>
      </w:r>
      <w:r>
        <w:rPr>
          <w:rFonts w:hint="eastAsia" w:ascii="仿宋_GB2312" w:hAnsi="仿宋" w:eastAsia="仿宋_GB2312"/>
          <w:sz w:val="32"/>
          <w:szCs w:val="32"/>
        </w:rPr>
        <w:t>的876.07万元增加1216.12</w:t>
      </w:r>
      <w:r>
        <w:rPr>
          <w:rFonts w:ascii="仿宋_GB2312" w:hAnsi="仿宋" w:eastAsia="仿宋_GB2312"/>
          <w:sz w:val="32"/>
          <w:szCs w:val="32"/>
        </w:rPr>
        <w:t>万元</w:t>
      </w:r>
      <w:r>
        <w:rPr>
          <w:rFonts w:hint="eastAsia" w:ascii="仿宋_GB2312" w:hAnsi="仿宋" w:eastAsia="仿宋_GB2312"/>
          <w:sz w:val="32"/>
          <w:szCs w:val="32"/>
        </w:rPr>
        <w:t>，其中一般公共预算拨款增加1216.12万元，政府性基金预算财政拨款0万元。2016年</w:t>
      </w:r>
      <w:r>
        <w:rPr>
          <w:rFonts w:hint="eastAsia" w:ascii="仿宋_GB2312" w:hAnsi="仿宋" w:eastAsia="仿宋_GB2312"/>
          <w:sz w:val="32"/>
          <w:szCs w:val="32"/>
          <w:lang w:eastAsia="zh-CN"/>
        </w:rPr>
        <w:t>度</w:t>
      </w:r>
      <w:r>
        <w:rPr>
          <w:rFonts w:hint="eastAsia" w:ascii="仿宋_GB2312" w:hAnsi="仿宋" w:eastAsia="仿宋_GB2312"/>
          <w:sz w:val="32"/>
          <w:szCs w:val="32"/>
        </w:rPr>
        <w:t>财政拨款支出决算总计1802.85万元</w:t>
      </w:r>
      <w:r>
        <w:rPr>
          <w:rFonts w:hint="eastAsia" w:ascii="仿宋_GB2312" w:hAnsi="仿宋" w:eastAsia="仿宋_GB2312"/>
          <w:sz w:val="32"/>
          <w:szCs w:val="32"/>
          <w:lang w:eastAsia="zh-CN"/>
        </w:rPr>
        <w:t>，</w:t>
      </w:r>
      <w:r>
        <w:rPr>
          <w:rFonts w:hint="eastAsia" w:ascii="仿宋_GB2312" w:hAnsi="仿宋" w:eastAsia="仿宋_GB2312"/>
          <w:sz w:val="32"/>
          <w:szCs w:val="32"/>
        </w:rPr>
        <w:t>较2015年</w:t>
      </w:r>
      <w:r>
        <w:rPr>
          <w:rFonts w:hint="eastAsia" w:ascii="仿宋_GB2312" w:hAnsi="仿宋" w:eastAsia="仿宋_GB2312"/>
          <w:sz w:val="32"/>
          <w:szCs w:val="32"/>
          <w:lang w:eastAsia="zh-CN"/>
        </w:rPr>
        <w:t>度</w:t>
      </w:r>
      <w:r>
        <w:rPr>
          <w:rFonts w:hint="eastAsia" w:ascii="仿宋_GB2312" w:hAnsi="仿宋" w:eastAsia="仿宋_GB2312"/>
          <w:sz w:val="32"/>
          <w:szCs w:val="32"/>
        </w:rPr>
        <w:t>的844.05万元增加958.80万元，其中基本支出比2015年</w:t>
      </w:r>
      <w:r>
        <w:rPr>
          <w:rFonts w:hint="eastAsia" w:ascii="仿宋_GB2312" w:hAnsi="仿宋" w:eastAsia="仿宋_GB2312"/>
          <w:sz w:val="32"/>
          <w:szCs w:val="32"/>
          <w:lang w:eastAsia="zh-CN"/>
        </w:rPr>
        <w:t>度</w:t>
      </w:r>
      <w:r>
        <w:rPr>
          <w:rFonts w:hint="eastAsia" w:ascii="仿宋_GB2312" w:hAnsi="仿宋" w:eastAsia="仿宋_GB2312"/>
          <w:sz w:val="32"/>
          <w:szCs w:val="32"/>
        </w:rPr>
        <w:t>的297.91万元</w:t>
      </w:r>
      <w:r>
        <w:rPr>
          <w:rFonts w:ascii="仿宋_GB2312" w:hAnsi="仿宋" w:eastAsia="仿宋_GB2312"/>
          <w:sz w:val="32"/>
          <w:szCs w:val="32"/>
        </w:rPr>
        <w:t>增加</w:t>
      </w:r>
      <w:r>
        <w:rPr>
          <w:rFonts w:hint="eastAsia" w:ascii="仿宋_GB2312" w:hAnsi="仿宋" w:eastAsia="仿宋_GB2312"/>
          <w:sz w:val="32"/>
          <w:szCs w:val="32"/>
        </w:rPr>
        <w:t>524.63万元，项目支出比2015年</w:t>
      </w:r>
      <w:r>
        <w:rPr>
          <w:rFonts w:hint="eastAsia" w:ascii="仿宋_GB2312" w:hAnsi="仿宋" w:eastAsia="仿宋_GB2312"/>
          <w:sz w:val="32"/>
          <w:szCs w:val="32"/>
          <w:lang w:eastAsia="zh-CN"/>
        </w:rPr>
        <w:t>度</w:t>
      </w:r>
      <w:r>
        <w:rPr>
          <w:rFonts w:hint="eastAsia" w:ascii="仿宋_GB2312" w:hAnsi="仿宋" w:eastAsia="仿宋_GB2312"/>
          <w:sz w:val="32"/>
          <w:szCs w:val="32"/>
        </w:rPr>
        <w:t>的546.14万元</w:t>
      </w:r>
      <w:r>
        <w:rPr>
          <w:rFonts w:ascii="仿宋_GB2312" w:hAnsi="仿宋" w:eastAsia="仿宋_GB2312"/>
          <w:sz w:val="32"/>
          <w:szCs w:val="32"/>
        </w:rPr>
        <w:t>增加</w:t>
      </w:r>
      <w:r>
        <w:rPr>
          <w:rFonts w:hint="eastAsia" w:ascii="仿宋_GB2312" w:hAnsi="仿宋" w:eastAsia="仿宋_GB2312"/>
          <w:sz w:val="32"/>
          <w:szCs w:val="32"/>
        </w:rPr>
        <w:t>434.17万元。</w:t>
      </w:r>
    </w:p>
    <w:p>
      <w:pPr>
        <w:widowControl/>
        <w:spacing w:line="520" w:lineRule="exact"/>
        <w:ind w:firstLine="643" w:firstLineChars="200"/>
        <w:jc w:val="left"/>
        <w:rPr>
          <w:rFonts w:hint="eastAsia" w:ascii="楷体_GB2312" w:hAnsi="黑体" w:eastAsia="楷体_GB2312" w:cs="黑体"/>
          <w:b/>
          <w:sz w:val="32"/>
          <w:szCs w:val="32"/>
        </w:rPr>
      </w:pPr>
      <w:r>
        <w:rPr>
          <w:rFonts w:hint="eastAsia" w:ascii="楷体_GB2312" w:hAnsi="黑体" w:eastAsia="楷体_GB2312" w:cs="黑体"/>
          <w:b/>
          <w:sz w:val="32"/>
          <w:szCs w:val="32"/>
        </w:rPr>
        <w:t>（五）财政拨款“三公”经费预算情况及增减变化原因</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2016年</w:t>
      </w:r>
      <w:r>
        <w:rPr>
          <w:rFonts w:hint="eastAsia" w:ascii="仿宋_GB2312" w:hAnsi="仿宋" w:eastAsia="仿宋_GB2312"/>
          <w:sz w:val="32"/>
          <w:szCs w:val="32"/>
          <w:lang w:eastAsia="zh-CN"/>
        </w:rPr>
        <w:t>度</w:t>
      </w:r>
      <w:r>
        <w:rPr>
          <w:rFonts w:hint="eastAsia" w:ascii="仿宋_GB2312" w:hAnsi="仿宋" w:eastAsia="仿宋_GB2312"/>
          <w:sz w:val="32"/>
          <w:szCs w:val="32"/>
        </w:rPr>
        <w:t>我部门“三公”经费安排1.6万元，比年初预算数减少31.5万元；比2015年</w:t>
      </w:r>
      <w:r>
        <w:rPr>
          <w:rFonts w:hint="eastAsia" w:ascii="仿宋_GB2312" w:hAnsi="仿宋" w:eastAsia="仿宋_GB2312"/>
          <w:sz w:val="32"/>
          <w:szCs w:val="32"/>
          <w:lang w:eastAsia="zh-CN"/>
        </w:rPr>
        <w:t>度</w:t>
      </w:r>
      <w:r>
        <w:rPr>
          <w:rFonts w:hint="eastAsia" w:ascii="仿宋_GB2312" w:hAnsi="仿宋" w:eastAsia="仿宋_GB2312"/>
          <w:sz w:val="32"/>
          <w:szCs w:val="32"/>
        </w:rPr>
        <w:t>“三公”经费6.58万元减少4.98万元。其中：因公出国（境）费公务用车运维费2016年</w:t>
      </w:r>
      <w:r>
        <w:rPr>
          <w:rFonts w:hint="eastAsia" w:ascii="仿宋_GB2312" w:hAnsi="仿宋" w:eastAsia="仿宋_GB2312"/>
          <w:sz w:val="32"/>
          <w:szCs w:val="32"/>
          <w:lang w:eastAsia="zh-CN"/>
        </w:rPr>
        <w:t>度</w:t>
      </w:r>
      <w:r>
        <w:rPr>
          <w:rFonts w:hint="eastAsia" w:ascii="仿宋_GB2312" w:hAnsi="仿宋" w:eastAsia="仿宋_GB2312"/>
          <w:sz w:val="32"/>
          <w:szCs w:val="32"/>
        </w:rPr>
        <w:t>决算0万元，与2015年</w:t>
      </w:r>
      <w:r>
        <w:rPr>
          <w:rFonts w:hint="eastAsia" w:ascii="仿宋_GB2312" w:hAnsi="仿宋" w:eastAsia="仿宋_GB2312"/>
          <w:sz w:val="32"/>
          <w:szCs w:val="32"/>
          <w:lang w:eastAsia="zh-CN"/>
        </w:rPr>
        <w:t>度</w:t>
      </w:r>
      <w:r>
        <w:rPr>
          <w:rFonts w:hint="eastAsia" w:ascii="仿宋_GB2312" w:hAnsi="仿宋" w:eastAsia="仿宋_GB2312"/>
          <w:sz w:val="32"/>
          <w:szCs w:val="32"/>
        </w:rPr>
        <w:t>相比，无增减变动；公务用车购置及运行维护费2016年</w:t>
      </w:r>
      <w:r>
        <w:rPr>
          <w:rFonts w:hint="eastAsia" w:ascii="仿宋_GB2312" w:hAnsi="仿宋" w:eastAsia="仿宋_GB2312"/>
          <w:sz w:val="32"/>
          <w:szCs w:val="32"/>
          <w:lang w:eastAsia="zh-CN"/>
        </w:rPr>
        <w:t>度</w:t>
      </w:r>
      <w:r>
        <w:rPr>
          <w:rFonts w:hint="eastAsia" w:ascii="仿宋_GB2312" w:hAnsi="仿宋" w:eastAsia="仿宋_GB2312"/>
          <w:sz w:val="32"/>
          <w:szCs w:val="32"/>
        </w:rPr>
        <w:t>决算1.6万元（公务用车购置数量0辆，购置金额0万元，公车运行维护费1.6万元，年末公务用车保有量2辆），比2015年</w:t>
      </w:r>
      <w:r>
        <w:rPr>
          <w:rFonts w:hint="eastAsia" w:ascii="仿宋_GB2312" w:hAnsi="仿宋" w:eastAsia="仿宋_GB2312"/>
          <w:sz w:val="32"/>
          <w:szCs w:val="32"/>
          <w:lang w:eastAsia="zh-CN"/>
        </w:rPr>
        <w:t>度</w:t>
      </w:r>
      <w:r>
        <w:rPr>
          <w:rFonts w:hint="eastAsia" w:ascii="仿宋_GB2312" w:hAnsi="仿宋" w:eastAsia="仿宋_GB2312"/>
          <w:sz w:val="32"/>
          <w:szCs w:val="32"/>
        </w:rPr>
        <w:t>的6.58万元减少4.98万元，原因是严格控制公车使用频率及范围；公务接待费2016年</w:t>
      </w:r>
      <w:r>
        <w:rPr>
          <w:rFonts w:hint="eastAsia" w:ascii="仿宋_GB2312" w:hAnsi="仿宋" w:eastAsia="仿宋_GB2312"/>
          <w:sz w:val="32"/>
          <w:szCs w:val="32"/>
          <w:lang w:eastAsia="zh-CN"/>
        </w:rPr>
        <w:t>度</w:t>
      </w:r>
      <w:r>
        <w:rPr>
          <w:rFonts w:hint="eastAsia" w:ascii="仿宋_GB2312" w:hAnsi="仿宋" w:eastAsia="仿宋_GB2312"/>
          <w:sz w:val="32"/>
          <w:szCs w:val="32"/>
        </w:rPr>
        <w:t>决算0万元（2016年度国内公务接待0批次，合计接待0人次），与2015年</w:t>
      </w:r>
      <w:r>
        <w:rPr>
          <w:rFonts w:hint="eastAsia" w:ascii="仿宋_GB2312" w:hAnsi="仿宋" w:eastAsia="仿宋_GB2312"/>
          <w:sz w:val="32"/>
          <w:szCs w:val="32"/>
          <w:lang w:eastAsia="zh-CN"/>
        </w:rPr>
        <w:t>度</w:t>
      </w:r>
      <w:r>
        <w:rPr>
          <w:rFonts w:hint="eastAsia" w:ascii="仿宋_GB2312" w:hAnsi="仿宋" w:eastAsia="仿宋_GB2312"/>
          <w:sz w:val="32"/>
          <w:szCs w:val="32"/>
        </w:rPr>
        <w:t>相比，无增减变动。</w:t>
      </w:r>
    </w:p>
    <w:p>
      <w:pPr>
        <w:widowControl/>
        <w:spacing w:line="520" w:lineRule="exact"/>
        <w:ind w:firstLine="643" w:firstLineChars="200"/>
        <w:jc w:val="left"/>
        <w:rPr>
          <w:rFonts w:ascii="黑体" w:hAnsi="黑体" w:eastAsia="黑体" w:cs="黑体"/>
          <w:sz w:val="28"/>
          <w:szCs w:val="28"/>
        </w:rPr>
      </w:pPr>
      <w:r>
        <w:rPr>
          <w:rFonts w:hint="eastAsia" w:ascii="楷体_GB2312" w:hAnsi="黑体" w:eastAsia="楷体_GB2312" w:cs="黑体"/>
          <w:b/>
          <w:sz w:val="32"/>
          <w:szCs w:val="32"/>
        </w:rPr>
        <w:t>（六）机关运行经费的支出情况的说明</w:t>
      </w:r>
    </w:p>
    <w:p>
      <w:pPr>
        <w:widowControl/>
        <w:spacing w:line="52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2016年</w:t>
      </w:r>
      <w:r>
        <w:rPr>
          <w:rFonts w:hint="eastAsia" w:ascii="仿宋_GB2312" w:hAnsi="仿宋" w:eastAsia="仿宋_GB2312"/>
          <w:color w:val="auto"/>
          <w:sz w:val="32"/>
          <w:szCs w:val="32"/>
          <w:lang w:eastAsia="zh-CN"/>
        </w:rPr>
        <w:t>度</w:t>
      </w:r>
      <w:r>
        <w:rPr>
          <w:rFonts w:hint="eastAsia" w:ascii="仿宋_GB2312" w:hAnsi="仿宋" w:eastAsia="仿宋_GB2312"/>
          <w:color w:val="auto"/>
          <w:sz w:val="32"/>
          <w:szCs w:val="32"/>
        </w:rPr>
        <w:t>我部门机关日常公用经费决算总合计822.54万元。</w:t>
      </w:r>
      <w:r>
        <w:rPr>
          <w:rFonts w:hint="eastAsia" w:ascii="仿宋_GB2312" w:hAnsi="仿宋_GB2312" w:eastAsia="仿宋_GB2312"/>
          <w:color w:val="auto"/>
          <w:sz w:val="32"/>
          <w:szCs w:val="30"/>
        </w:rPr>
        <w:t>比2015年度</w:t>
      </w:r>
      <w:r>
        <w:rPr>
          <w:rFonts w:hint="eastAsia" w:ascii="仿宋_GB2312" w:hAnsi="仿宋_GB2312" w:eastAsia="仿宋_GB2312"/>
          <w:color w:val="auto"/>
          <w:sz w:val="32"/>
          <w:szCs w:val="30"/>
          <w:lang w:eastAsia="zh-CN"/>
        </w:rPr>
        <w:t>的</w:t>
      </w:r>
      <w:r>
        <w:rPr>
          <w:rFonts w:hint="eastAsia" w:ascii="仿宋_GB2312" w:hAnsi="仿宋_GB2312" w:eastAsia="仿宋_GB2312"/>
          <w:color w:val="auto"/>
          <w:sz w:val="32"/>
          <w:szCs w:val="30"/>
          <w:lang w:val="en-US" w:eastAsia="zh-CN"/>
        </w:rPr>
        <w:t>297.91万元</w:t>
      </w:r>
      <w:r>
        <w:rPr>
          <w:rFonts w:hint="eastAsia" w:ascii="仿宋_GB2312" w:hAnsi="仿宋_GB2312" w:eastAsia="仿宋_GB2312"/>
          <w:color w:val="auto"/>
          <w:sz w:val="32"/>
          <w:szCs w:val="30"/>
        </w:rPr>
        <w:t>增加</w:t>
      </w:r>
      <w:r>
        <w:rPr>
          <w:rFonts w:hint="eastAsia" w:ascii="仿宋_GB2312" w:hAnsi="仿宋_GB2312" w:eastAsia="仿宋_GB2312"/>
          <w:color w:val="auto"/>
          <w:sz w:val="32"/>
          <w:szCs w:val="30"/>
          <w:lang w:val="en-US" w:eastAsia="zh-CN"/>
        </w:rPr>
        <w:t>524.63</w:t>
      </w:r>
      <w:r>
        <w:rPr>
          <w:rFonts w:hint="eastAsia" w:ascii="仿宋_GB2312" w:hAnsi="仿宋_GB2312" w:eastAsia="仿宋_GB2312"/>
          <w:color w:val="auto"/>
          <w:sz w:val="32"/>
          <w:szCs w:val="30"/>
        </w:rPr>
        <w:t>万元，增长</w:t>
      </w:r>
      <w:r>
        <w:rPr>
          <w:rFonts w:hint="eastAsia" w:ascii="仿宋_GB2312" w:hAnsi="仿宋_GB2312" w:eastAsia="仿宋_GB2312"/>
          <w:color w:val="auto"/>
          <w:sz w:val="32"/>
          <w:szCs w:val="30"/>
          <w:lang w:val="en-US" w:eastAsia="zh-CN"/>
        </w:rPr>
        <w:t>177</w:t>
      </w:r>
      <w:r>
        <w:rPr>
          <w:rFonts w:hint="eastAsia" w:ascii="仿宋_GB2312" w:hAnsi="仿宋_GB2312" w:eastAsia="仿宋_GB2312"/>
          <w:color w:val="auto"/>
          <w:sz w:val="32"/>
          <w:szCs w:val="30"/>
        </w:rPr>
        <w:t>%。主要原因是：</w:t>
      </w:r>
      <w:r>
        <w:rPr>
          <w:rFonts w:hint="eastAsia" w:ascii="仿宋_GB2312" w:hAnsi="仿宋_GB2312" w:eastAsia="仿宋_GB2312"/>
          <w:color w:val="auto"/>
          <w:sz w:val="32"/>
          <w:szCs w:val="30"/>
          <w:lang w:eastAsia="zh-CN"/>
        </w:rPr>
        <w:t>业务规模增加、监管范围扩大、行政执法人员增多，人员经费和日常运转经费相应提高。</w:t>
      </w:r>
    </w:p>
    <w:p>
      <w:pPr>
        <w:widowControl/>
        <w:spacing w:line="520" w:lineRule="exact"/>
        <w:ind w:firstLine="643" w:firstLineChars="200"/>
        <w:jc w:val="left"/>
        <w:rPr>
          <w:rFonts w:ascii="仿宋_GB2312" w:hAnsi="仿宋_GB2312" w:eastAsia="仿宋_GB2312"/>
          <w:sz w:val="32"/>
          <w:szCs w:val="32"/>
        </w:rPr>
      </w:pPr>
      <w:r>
        <w:rPr>
          <w:rFonts w:hint="eastAsia" w:ascii="楷体_GB2312" w:hAnsi="黑体" w:eastAsia="楷体_GB2312" w:cs="黑体"/>
          <w:b/>
          <w:sz w:val="32"/>
          <w:szCs w:val="32"/>
        </w:rPr>
        <w:t>（七）绩效预算信息</w:t>
      </w:r>
    </w:p>
    <w:p>
      <w:pPr>
        <w:autoSpaceDE w:val="0"/>
        <w:autoSpaceDN w:val="0"/>
        <w:snapToGrid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1、预算绩效管理工作开展情况</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2016年</w:t>
      </w:r>
      <w:r>
        <w:rPr>
          <w:rFonts w:hint="eastAsia" w:ascii="仿宋_GB2312" w:hAnsi="仿宋" w:eastAsia="仿宋_GB2312"/>
          <w:sz w:val="32"/>
          <w:szCs w:val="32"/>
          <w:lang w:eastAsia="zh-CN"/>
        </w:rPr>
        <w:t>度</w:t>
      </w:r>
      <w:r>
        <w:rPr>
          <w:rFonts w:hint="eastAsia" w:ascii="仿宋_GB2312" w:hAnsi="仿宋" w:eastAsia="仿宋_GB2312"/>
          <w:sz w:val="32"/>
          <w:szCs w:val="32"/>
        </w:rPr>
        <w:t>三河市食品药品监督管理局全面完成食品药品监管体制改革任务，整合食品生产、流通、餐饮环节的监管，完成了职责调整、机构整合和人员编制划转工作。并依据有关法律法规和国家食品药品监督总局的要求开展了保健食品、化妆品、生产加工环节、食品销售和餐饮环节的监督抽验工作。</w:t>
      </w:r>
    </w:p>
    <w:p>
      <w:pPr>
        <w:autoSpaceDE w:val="0"/>
        <w:autoSpaceDN w:val="0"/>
        <w:snapToGrid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2、预算项目绩效评价开展情况</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2016年</w:t>
      </w:r>
      <w:r>
        <w:rPr>
          <w:rFonts w:hint="eastAsia" w:ascii="仿宋_GB2312" w:hAnsi="仿宋" w:eastAsia="仿宋_GB2312"/>
          <w:sz w:val="32"/>
          <w:szCs w:val="32"/>
          <w:lang w:eastAsia="zh-CN"/>
        </w:rPr>
        <w:t>度</w:t>
      </w:r>
      <w:r>
        <w:rPr>
          <w:rFonts w:hint="eastAsia" w:ascii="仿宋_GB2312" w:hAnsi="仿宋" w:eastAsia="仿宋_GB2312"/>
          <w:sz w:val="32"/>
          <w:szCs w:val="32"/>
        </w:rPr>
        <w:t>我局食品安全抽验经费项目具体工作由保健食品化妆品监管股、食品生产流通监管股负责。主要项目成效如下：</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（1）全面推进食药监局体制改革，完成食品、保健食品和化妆品抽验监管工作的衔接。</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2016年</w:t>
      </w:r>
      <w:r>
        <w:rPr>
          <w:rFonts w:hint="eastAsia" w:ascii="仿宋_GB2312" w:hAnsi="仿宋" w:eastAsia="仿宋_GB2312"/>
          <w:sz w:val="32"/>
          <w:szCs w:val="32"/>
          <w:lang w:eastAsia="zh-CN"/>
        </w:rPr>
        <w:t>度</w:t>
      </w:r>
      <w:r>
        <w:rPr>
          <w:rFonts w:hint="eastAsia" w:ascii="仿宋_GB2312" w:hAnsi="仿宋" w:eastAsia="仿宋_GB2312"/>
          <w:sz w:val="32"/>
          <w:szCs w:val="32"/>
        </w:rPr>
        <w:t>三河市食药监局全面完成食品药品监管体制改革任务，整合食品生产、流通、餐饮环节的监管，完成了职责调整、机构整合和人员编制划转工作。</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将质量技术监督局食品生产环节监督管理职责、工商行政管理局流通环节食品监督管理职责及卫生局餐饮业、食堂等消费环节食品安全监督管理职责划入三河市</w:t>
      </w:r>
      <w:r>
        <w:rPr>
          <w:rFonts w:hint="eastAsia" w:ascii="仿宋_GB2312" w:hAnsi="仿宋" w:eastAsia="仿宋_GB2312"/>
          <w:sz w:val="32"/>
          <w:szCs w:val="32"/>
          <w:lang w:eastAsia="zh-CN"/>
        </w:rPr>
        <w:t>食</w:t>
      </w:r>
      <w:r>
        <w:rPr>
          <w:rFonts w:hint="eastAsia" w:ascii="仿宋_GB2312" w:hAnsi="仿宋" w:eastAsia="仿宋_GB2312"/>
          <w:sz w:val="32"/>
          <w:szCs w:val="32"/>
        </w:rPr>
        <w:t>药监局。</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完成上述工作后，三河市食药监局即着手制定并实施2016年</w:t>
      </w:r>
      <w:r>
        <w:rPr>
          <w:rFonts w:hint="eastAsia" w:ascii="仿宋_GB2312" w:hAnsi="仿宋" w:eastAsia="仿宋_GB2312"/>
          <w:sz w:val="32"/>
          <w:szCs w:val="32"/>
          <w:lang w:eastAsia="zh-CN"/>
        </w:rPr>
        <w:t>度</w:t>
      </w:r>
      <w:r>
        <w:rPr>
          <w:rFonts w:hint="eastAsia" w:ascii="仿宋_GB2312" w:hAnsi="仿宋" w:eastAsia="仿宋_GB2312"/>
          <w:sz w:val="32"/>
          <w:szCs w:val="32"/>
        </w:rPr>
        <w:t>各项抽检工作计划。2016年</w:t>
      </w:r>
      <w:r>
        <w:rPr>
          <w:rFonts w:hint="eastAsia" w:ascii="仿宋_GB2312" w:hAnsi="仿宋" w:eastAsia="仿宋_GB2312"/>
          <w:sz w:val="32"/>
          <w:szCs w:val="32"/>
          <w:lang w:eastAsia="zh-CN"/>
        </w:rPr>
        <w:t>度</w:t>
      </w:r>
      <w:r>
        <w:rPr>
          <w:rFonts w:hint="eastAsia" w:ascii="仿宋_GB2312" w:hAnsi="仿宋" w:eastAsia="仿宋_GB2312"/>
          <w:sz w:val="32"/>
          <w:szCs w:val="32"/>
        </w:rPr>
        <w:t>全年开展抽验2461批，具体情况如下：</w:t>
      </w:r>
    </w:p>
    <w:p>
      <w:pPr>
        <w:widowControl/>
        <w:spacing w:line="520" w:lineRule="exact"/>
        <w:ind w:firstLine="640" w:firstLineChars="200"/>
        <w:jc w:val="left"/>
        <w:rPr>
          <w:rFonts w:hint="eastAsia" w:ascii="仿宋_GB2312" w:hAnsi="仿宋" w:eastAsia="仿宋_GB2312"/>
          <w:sz w:val="32"/>
          <w:szCs w:val="32"/>
        </w:rPr>
      </w:pPr>
    </w:p>
    <w:tbl>
      <w:tblPr>
        <w:tblStyle w:val="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jc w:val="center"/>
              <w:rPr>
                <w:rFonts w:ascii="仿宋" w:hAnsi="仿宋" w:eastAsia="仿宋"/>
                <w:sz w:val="28"/>
                <w:szCs w:val="28"/>
              </w:rPr>
            </w:pPr>
            <w:r>
              <w:rPr>
                <w:rFonts w:ascii="仿宋" w:hAnsi="仿宋" w:eastAsia="仿宋"/>
                <w:sz w:val="28"/>
                <w:szCs w:val="28"/>
              </w:rPr>
              <w:t>项目</w:t>
            </w:r>
          </w:p>
        </w:tc>
        <w:tc>
          <w:tcPr>
            <w:tcW w:w="2130" w:type="dxa"/>
            <w:shd w:val="clear" w:color="auto" w:fill="auto"/>
          </w:tcPr>
          <w:p>
            <w:pPr>
              <w:spacing w:line="560" w:lineRule="exact"/>
              <w:jc w:val="center"/>
              <w:rPr>
                <w:rFonts w:ascii="仿宋" w:hAnsi="仿宋" w:eastAsia="仿宋"/>
                <w:sz w:val="28"/>
                <w:szCs w:val="28"/>
              </w:rPr>
            </w:pPr>
            <w:r>
              <w:rPr>
                <w:rFonts w:ascii="仿宋" w:hAnsi="仿宋" w:eastAsia="仿宋"/>
                <w:sz w:val="28"/>
                <w:szCs w:val="28"/>
              </w:rPr>
              <w:t>总批次</w:t>
            </w:r>
          </w:p>
        </w:tc>
        <w:tc>
          <w:tcPr>
            <w:tcW w:w="2131" w:type="dxa"/>
            <w:shd w:val="clear" w:color="auto" w:fill="auto"/>
          </w:tcPr>
          <w:p>
            <w:pPr>
              <w:spacing w:line="560" w:lineRule="exact"/>
              <w:jc w:val="center"/>
              <w:rPr>
                <w:rFonts w:ascii="仿宋" w:hAnsi="仿宋" w:eastAsia="仿宋"/>
                <w:sz w:val="28"/>
                <w:szCs w:val="28"/>
              </w:rPr>
            </w:pPr>
            <w:r>
              <w:rPr>
                <w:rFonts w:ascii="仿宋" w:hAnsi="仿宋" w:eastAsia="仿宋"/>
                <w:sz w:val="28"/>
                <w:szCs w:val="28"/>
              </w:rPr>
              <w:t>合格</w:t>
            </w:r>
          </w:p>
        </w:tc>
        <w:tc>
          <w:tcPr>
            <w:tcW w:w="2131" w:type="dxa"/>
            <w:shd w:val="clear" w:color="auto" w:fill="auto"/>
          </w:tcPr>
          <w:p>
            <w:pPr>
              <w:spacing w:line="560" w:lineRule="exact"/>
              <w:jc w:val="center"/>
              <w:rPr>
                <w:rFonts w:ascii="仿宋" w:hAnsi="仿宋" w:eastAsia="仿宋"/>
                <w:sz w:val="28"/>
                <w:szCs w:val="28"/>
              </w:rPr>
            </w:pPr>
            <w:r>
              <w:rPr>
                <w:rFonts w:ascii="仿宋" w:hAnsi="仿宋" w:eastAsia="仿宋"/>
                <w:sz w:val="28"/>
                <w:szCs w:val="28"/>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sz w:val="28"/>
                <w:szCs w:val="28"/>
              </w:rPr>
            </w:pPr>
            <w:r>
              <w:rPr>
                <w:rFonts w:ascii="仿宋" w:hAnsi="仿宋" w:eastAsia="仿宋"/>
                <w:sz w:val="28"/>
                <w:szCs w:val="28"/>
              </w:rPr>
              <w:t>保健食品</w:t>
            </w:r>
          </w:p>
        </w:tc>
        <w:tc>
          <w:tcPr>
            <w:tcW w:w="2130"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41</w:t>
            </w:r>
          </w:p>
        </w:tc>
        <w:tc>
          <w:tcPr>
            <w:tcW w:w="2131"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41</w:t>
            </w:r>
          </w:p>
        </w:tc>
        <w:tc>
          <w:tcPr>
            <w:tcW w:w="2131"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sz w:val="28"/>
                <w:szCs w:val="28"/>
              </w:rPr>
            </w:pPr>
            <w:r>
              <w:rPr>
                <w:rFonts w:ascii="仿宋" w:hAnsi="仿宋" w:eastAsia="仿宋"/>
                <w:sz w:val="28"/>
                <w:szCs w:val="28"/>
              </w:rPr>
              <w:t>化妆品</w:t>
            </w:r>
          </w:p>
        </w:tc>
        <w:tc>
          <w:tcPr>
            <w:tcW w:w="2130"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36</w:t>
            </w:r>
          </w:p>
        </w:tc>
        <w:tc>
          <w:tcPr>
            <w:tcW w:w="2131"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36</w:t>
            </w:r>
          </w:p>
        </w:tc>
        <w:tc>
          <w:tcPr>
            <w:tcW w:w="2131"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sz w:val="28"/>
                <w:szCs w:val="28"/>
              </w:rPr>
            </w:pPr>
            <w:r>
              <w:rPr>
                <w:rFonts w:ascii="仿宋" w:hAnsi="仿宋" w:eastAsia="仿宋"/>
                <w:sz w:val="28"/>
                <w:szCs w:val="28"/>
              </w:rPr>
              <w:t>食用农产品</w:t>
            </w:r>
          </w:p>
        </w:tc>
        <w:tc>
          <w:tcPr>
            <w:tcW w:w="2130"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120</w:t>
            </w:r>
          </w:p>
        </w:tc>
        <w:tc>
          <w:tcPr>
            <w:tcW w:w="2131"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120</w:t>
            </w:r>
          </w:p>
        </w:tc>
        <w:tc>
          <w:tcPr>
            <w:tcW w:w="2131"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sz w:val="28"/>
                <w:szCs w:val="28"/>
              </w:rPr>
            </w:pPr>
            <w:r>
              <w:rPr>
                <w:rFonts w:ascii="仿宋" w:hAnsi="仿宋" w:eastAsia="仿宋"/>
                <w:sz w:val="28"/>
                <w:szCs w:val="28"/>
              </w:rPr>
              <w:t>生产环节</w:t>
            </w:r>
          </w:p>
        </w:tc>
        <w:tc>
          <w:tcPr>
            <w:tcW w:w="2130"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10</w:t>
            </w:r>
            <w:r>
              <w:rPr>
                <w:rFonts w:ascii="仿宋" w:hAnsi="仿宋" w:eastAsia="仿宋"/>
                <w:sz w:val="28"/>
                <w:szCs w:val="28"/>
              </w:rPr>
              <w:t>4</w:t>
            </w:r>
          </w:p>
        </w:tc>
        <w:tc>
          <w:tcPr>
            <w:tcW w:w="2131" w:type="dxa"/>
            <w:shd w:val="clear" w:color="auto" w:fill="auto"/>
          </w:tcPr>
          <w:p>
            <w:pPr>
              <w:spacing w:line="560" w:lineRule="exact"/>
              <w:jc w:val="center"/>
              <w:rPr>
                <w:rFonts w:ascii="仿宋" w:hAnsi="仿宋" w:eastAsia="仿宋"/>
                <w:sz w:val="28"/>
                <w:szCs w:val="28"/>
              </w:rPr>
            </w:pPr>
            <w:r>
              <w:rPr>
                <w:rFonts w:ascii="仿宋" w:hAnsi="仿宋" w:eastAsia="仿宋"/>
                <w:sz w:val="28"/>
                <w:szCs w:val="28"/>
              </w:rPr>
              <w:t>98</w:t>
            </w:r>
          </w:p>
        </w:tc>
        <w:tc>
          <w:tcPr>
            <w:tcW w:w="2131" w:type="dxa"/>
            <w:shd w:val="clear" w:color="auto" w:fill="auto"/>
          </w:tcPr>
          <w:p>
            <w:pPr>
              <w:spacing w:line="560" w:lineRule="exact"/>
              <w:jc w:val="center"/>
              <w:rPr>
                <w:rFonts w:ascii="仿宋" w:hAnsi="仿宋" w:eastAsia="仿宋"/>
                <w:sz w:val="28"/>
                <w:szCs w:val="28"/>
              </w:rPr>
            </w:pPr>
            <w:r>
              <w:rPr>
                <w:rFonts w:ascii="仿宋" w:hAnsi="仿宋" w:eastAsia="仿宋"/>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sz w:val="28"/>
                <w:szCs w:val="28"/>
              </w:rPr>
            </w:pPr>
            <w:r>
              <w:rPr>
                <w:rFonts w:ascii="仿宋" w:hAnsi="仿宋" w:eastAsia="仿宋"/>
                <w:sz w:val="28"/>
                <w:szCs w:val="28"/>
              </w:rPr>
              <w:t>食品销售环节</w:t>
            </w:r>
          </w:p>
        </w:tc>
        <w:tc>
          <w:tcPr>
            <w:tcW w:w="2130"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1152</w:t>
            </w:r>
          </w:p>
        </w:tc>
        <w:tc>
          <w:tcPr>
            <w:tcW w:w="2131"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1139</w:t>
            </w:r>
          </w:p>
        </w:tc>
        <w:tc>
          <w:tcPr>
            <w:tcW w:w="2131"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sz w:val="28"/>
                <w:szCs w:val="28"/>
              </w:rPr>
            </w:pPr>
            <w:r>
              <w:rPr>
                <w:rFonts w:ascii="仿宋" w:hAnsi="仿宋" w:eastAsia="仿宋"/>
                <w:sz w:val="28"/>
                <w:szCs w:val="28"/>
              </w:rPr>
              <w:t>餐饮环节</w:t>
            </w:r>
          </w:p>
        </w:tc>
        <w:tc>
          <w:tcPr>
            <w:tcW w:w="2130"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1008</w:t>
            </w:r>
          </w:p>
        </w:tc>
        <w:tc>
          <w:tcPr>
            <w:tcW w:w="2131"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906</w:t>
            </w:r>
          </w:p>
        </w:tc>
        <w:tc>
          <w:tcPr>
            <w:tcW w:w="2131" w:type="dxa"/>
            <w:shd w:val="clear" w:color="auto" w:fill="auto"/>
          </w:tcPr>
          <w:p>
            <w:pPr>
              <w:spacing w:line="560" w:lineRule="exact"/>
              <w:jc w:val="center"/>
              <w:rPr>
                <w:rFonts w:ascii="仿宋" w:hAnsi="仿宋" w:eastAsia="仿宋"/>
                <w:sz w:val="28"/>
                <w:szCs w:val="28"/>
              </w:rPr>
            </w:pPr>
            <w:r>
              <w:rPr>
                <w:rFonts w:hint="eastAsia" w:ascii="仿宋" w:hAnsi="仿宋" w:eastAsia="仿宋"/>
                <w:sz w:val="28"/>
                <w:szCs w:val="28"/>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sz w:val="28"/>
                <w:szCs w:val="28"/>
              </w:rPr>
            </w:pPr>
            <w:r>
              <w:rPr>
                <w:rFonts w:ascii="仿宋" w:hAnsi="仿宋" w:eastAsia="仿宋"/>
                <w:sz w:val="28"/>
                <w:szCs w:val="28"/>
              </w:rPr>
              <w:t>合计</w:t>
            </w:r>
          </w:p>
        </w:tc>
        <w:tc>
          <w:tcPr>
            <w:tcW w:w="2130" w:type="dxa"/>
            <w:shd w:val="clear" w:color="auto" w:fill="auto"/>
          </w:tcPr>
          <w:p>
            <w:pPr>
              <w:spacing w:line="560" w:lineRule="exact"/>
              <w:jc w:val="center"/>
              <w:rPr>
                <w:rFonts w:ascii="仿宋" w:hAnsi="仿宋" w:eastAsia="仿宋"/>
                <w:sz w:val="28"/>
                <w:szCs w:val="28"/>
              </w:rPr>
            </w:pPr>
            <w:r>
              <w:rPr>
                <w:rFonts w:ascii="仿宋" w:hAnsi="仿宋" w:eastAsia="仿宋"/>
                <w:sz w:val="28"/>
                <w:szCs w:val="28"/>
              </w:rPr>
              <w:t>2461</w:t>
            </w:r>
          </w:p>
        </w:tc>
        <w:tc>
          <w:tcPr>
            <w:tcW w:w="2131" w:type="dxa"/>
            <w:shd w:val="clear" w:color="auto" w:fill="auto"/>
          </w:tcPr>
          <w:p>
            <w:pPr>
              <w:spacing w:line="560" w:lineRule="exact"/>
              <w:jc w:val="center"/>
              <w:rPr>
                <w:rFonts w:ascii="仿宋" w:hAnsi="仿宋" w:eastAsia="仿宋"/>
                <w:sz w:val="28"/>
                <w:szCs w:val="28"/>
              </w:rPr>
            </w:pPr>
            <w:r>
              <w:rPr>
                <w:rFonts w:ascii="仿宋" w:hAnsi="仿宋" w:eastAsia="仿宋"/>
                <w:sz w:val="28"/>
                <w:szCs w:val="28"/>
              </w:rPr>
              <w:t>2340</w:t>
            </w:r>
          </w:p>
        </w:tc>
        <w:tc>
          <w:tcPr>
            <w:tcW w:w="2131" w:type="dxa"/>
            <w:shd w:val="clear" w:color="auto" w:fill="auto"/>
          </w:tcPr>
          <w:p>
            <w:pPr>
              <w:spacing w:line="560" w:lineRule="exact"/>
              <w:jc w:val="center"/>
              <w:rPr>
                <w:rFonts w:ascii="仿宋" w:hAnsi="仿宋" w:eastAsia="仿宋"/>
                <w:sz w:val="28"/>
                <w:szCs w:val="28"/>
              </w:rPr>
            </w:pPr>
            <w:r>
              <w:rPr>
                <w:rFonts w:ascii="仿宋" w:hAnsi="仿宋" w:eastAsia="仿宋"/>
                <w:sz w:val="28"/>
                <w:szCs w:val="28"/>
              </w:rPr>
              <w:t>121</w:t>
            </w:r>
          </w:p>
        </w:tc>
      </w:tr>
    </w:tbl>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（2）统一遴选承担监督抽检检验任务的检验机构，提升检验检测水平。</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2016年</w:t>
      </w:r>
      <w:r>
        <w:rPr>
          <w:rFonts w:hint="eastAsia" w:ascii="仿宋_GB2312" w:hAnsi="仿宋" w:eastAsia="仿宋_GB2312"/>
          <w:sz w:val="32"/>
          <w:szCs w:val="32"/>
          <w:lang w:eastAsia="zh-CN"/>
        </w:rPr>
        <w:t>度</w:t>
      </w:r>
      <w:r>
        <w:rPr>
          <w:rFonts w:hint="eastAsia" w:ascii="仿宋_GB2312" w:hAnsi="仿宋" w:eastAsia="仿宋_GB2312"/>
          <w:sz w:val="32"/>
          <w:szCs w:val="32"/>
        </w:rPr>
        <w:t>对检测机构进行了遴选，通过招投标程序确定四家检测机构承担全市2016年</w:t>
      </w:r>
      <w:r>
        <w:rPr>
          <w:rFonts w:hint="eastAsia" w:ascii="仿宋_GB2312" w:hAnsi="仿宋" w:eastAsia="仿宋_GB2312"/>
          <w:sz w:val="32"/>
          <w:szCs w:val="32"/>
          <w:lang w:eastAsia="zh-CN"/>
        </w:rPr>
        <w:t>度</w:t>
      </w:r>
      <w:r>
        <w:rPr>
          <w:rFonts w:hint="eastAsia" w:ascii="仿宋_GB2312" w:hAnsi="仿宋" w:eastAsia="仿宋_GB2312"/>
          <w:sz w:val="32"/>
          <w:szCs w:val="32"/>
        </w:rPr>
        <w:t>的监督抽检任务，并签订委托检验检测合同。</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我局通过对食品生产、流通、餐饮等环节的监督抽验，发现质量问题点，为食品监管、稽查提供技术数据支撑。全面了解食品安全状况，发现安全隐患，从而有针对性的采取措施，消除隐患，保障公众身体健康和生命安全。</w:t>
      </w:r>
    </w:p>
    <w:p>
      <w:pPr>
        <w:autoSpaceDE w:val="0"/>
        <w:autoSpaceDN w:val="0"/>
        <w:adjustRightInd w:val="0"/>
        <w:spacing w:line="520" w:lineRule="exact"/>
        <w:ind w:firstLine="643" w:firstLineChars="200"/>
        <w:jc w:val="left"/>
        <w:rPr>
          <w:rFonts w:hint="eastAsia" w:ascii="楷体_GB2312" w:hAnsi="黑体" w:eastAsia="楷体_GB2312" w:cs="黑体"/>
          <w:b/>
          <w:sz w:val="32"/>
          <w:szCs w:val="32"/>
        </w:rPr>
      </w:pPr>
      <w:r>
        <w:rPr>
          <w:rFonts w:hint="eastAsia" w:ascii="楷体_GB2312" w:hAnsi="黑体" w:eastAsia="楷体_GB2312" w:cs="黑体"/>
          <w:b/>
          <w:sz w:val="32"/>
          <w:szCs w:val="32"/>
        </w:rPr>
        <w:t>（八）政府采购决算情况</w:t>
      </w:r>
    </w:p>
    <w:p>
      <w:pPr>
        <w:autoSpaceDE w:val="0"/>
        <w:autoSpaceDN w:val="0"/>
        <w:snapToGrid w:val="0"/>
        <w:spacing w:line="520" w:lineRule="exact"/>
        <w:ind w:firstLine="640" w:firstLineChars="200"/>
        <w:rPr>
          <w:rFonts w:ascii="仿宋_GB2312" w:hAnsi="仿宋_GB2312" w:eastAsia="仿宋_GB2312" w:cs="仿宋_GB2312"/>
          <w:color w:val="333333"/>
          <w:kern w:val="0"/>
          <w:sz w:val="32"/>
          <w:szCs w:val="32"/>
          <w:shd w:val="clear" w:color="auto" w:fill="FFFFFF"/>
        </w:rPr>
      </w:pPr>
      <w:bookmarkStart w:id="0" w:name="_Toc471398468"/>
      <w:r>
        <w:rPr>
          <w:rFonts w:ascii="仿宋_GB2312" w:hAnsi="仿宋_GB2312" w:eastAsia="仿宋_GB2312" w:cs="仿宋_GB2312"/>
          <w:color w:val="333333"/>
          <w:kern w:val="0"/>
          <w:sz w:val="32"/>
          <w:szCs w:val="32"/>
          <w:shd w:val="clear" w:color="auto" w:fill="FFFFFF"/>
        </w:rPr>
        <w:t>201</w:t>
      </w:r>
      <w:r>
        <w:rPr>
          <w:rFonts w:hint="eastAsia" w:ascii="仿宋_GB2312" w:hAnsi="仿宋_GB2312" w:eastAsia="仿宋_GB2312" w:cs="仿宋_GB2312"/>
          <w:color w:val="333333"/>
          <w:kern w:val="0"/>
          <w:sz w:val="32"/>
          <w:szCs w:val="32"/>
          <w:shd w:val="clear" w:color="auto" w:fill="FFFFFF"/>
        </w:rPr>
        <w:t>6</w:t>
      </w:r>
      <w:r>
        <w:rPr>
          <w:rFonts w:ascii="仿宋_GB2312" w:hAnsi="仿宋_GB2312" w:eastAsia="仿宋_GB2312" w:cs="仿宋_GB2312"/>
          <w:color w:val="333333"/>
          <w:kern w:val="0"/>
          <w:sz w:val="32"/>
          <w:szCs w:val="32"/>
          <w:shd w:val="clear" w:color="auto" w:fill="FFFFFF"/>
        </w:rPr>
        <w:t>年</w:t>
      </w:r>
      <w:r>
        <w:rPr>
          <w:rFonts w:hint="eastAsia" w:ascii="仿宋_GB2312" w:hAnsi="仿宋_GB2312" w:eastAsia="仿宋_GB2312" w:cs="仿宋_GB2312"/>
          <w:color w:val="333333"/>
          <w:kern w:val="0"/>
          <w:sz w:val="32"/>
          <w:szCs w:val="32"/>
          <w:shd w:val="clear" w:color="auto" w:fill="FFFFFF"/>
          <w:lang w:eastAsia="zh-CN"/>
        </w:rPr>
        <w:t>度</w:t>
      </w:r>
      <w:r>
        <w:rPr>
          <w:rFonts w:hint="eastAsia" w:ascii="仿宋_GB2312" w:hAnsi="仿宋_GB2312" w:eastAsia="仿宋_GB2312" w:cs="仿宋_GB2312"/>
          <w:color w:val="333333"/>
          <w:kern w:val="0"/>
          <w:sz w:val="32"/>
          <w:szCs w:val="32"/>
          <w:shd w:val="clear" w:color="auto" w:fill="FFFFFF"/>
        </w:rPr>
        <w:t>我部门</w:t>
      </w:r>
      <w:r>
        <w:rPr>
          <w:rFonts w:ascii="仿宋_GB2312" w:hAnsi="仿宋_GB2312" w:eastAsia="仿宋_GB2312" w:cs="仿宋_GB2312"/>
          <w:color w:val="333333"/>
          <w:kern w:val="0"/>
          <w:sz w:val="32"/>
          <w:szCs w:val="32"/>
          <w:shd w:val="clear" w:color="auto" w:fill="FFFFFF"/>
        </w:rPr>
        <w:t>政府采购</w:t>
      </w:r>
      <w:r>
        <w:rPr>
          <w:rFonts w:hint="eastAsia" w:ascii="仿宋_GB2312" w:hAnsi="仿宋_GB2312" w:eastAsia="仿宋_GB2312" w:cs="仿宋_GB2312"/>
          <w:color w:val="333333"/>
          <w:kern w:val="0"/>
          <w:sz w:val="32"/>
          <w:szCs w:val="32"/>
          <w:shd w:val="clear" w:color="auto" w:fill="FFFFFF"/>
        </w:rPr>
        <w:t>决</w:t>
      </w:r>
      <w:r>
        <w:rPr>
          <w:rFonts w:ascii="仿宋_GB2312" w:hAnsi="仿宋_GB2312" w:eastAsia="仿宋_GB2312" w:cs="仿宋_GB2312"/>
          <w:color w:val="333333"/>
          <w:kern w:val="0"/>
          <w:sz w:val="32"/>
          <w:szCs w:val="32"/>
          <w:shd w:val="clear" w:color="auto" w:fill="FFFFFF"/>
        </w:rPr>
        <w:t>算</w:t>
      </w:r>
      <w:r>
        <w:rPr>
          <w:rFonts w:hint="eastAsia" w:ascii="仿宋_GB2312" w:hAnsi="仿宋_GB2312" w:eastAsia="仿宋_GB2312" w:cs="仿宋_GB2312"/>
          <w:color w:val="333333"/>
          <w:kern w:val="0"/>
          <w:sz w:val="32"/>
          <w:szCs w:val="32"/>
          <w:shd w:val="clear" w:color="auto" w:fill="FFFFFF"/>
        </w:rPr>
        <w:t>469.6</w:t>
      </w:r>
      <w:r>
        <w:rPr>
          <w:rFonts w:ascii="仿宋_GB2312" w:hAnsi="仿宋_GB2312" w:eastAsia="仿宋_GB2312" w:cs="仿宋_GB2312"/>
          <w:color w:val="333333"/>
          <w:kern w:val="0"/>
          <w:sz w:val="32"/>
          <w:szCs w:val="32"/>
          <w:shd w:val="clear" w:color="auto" w:fill="FFFFFF"/>
        </w:rPr>
        <w:t>万元。</w:t>
      </w:r>
      <w:r>
        <w:rPr>
          <w:rFonts w:hint="eastAsia" w:ascii="仿宋_GB2312" w:hAnsi="仿宋_GB2312" w:eastAsia="仿宋_GB2312"/>
          <w:color w:val="auto"/>
          <w:sz w:val="32"/>
          <w:szCs w:val="30"/>
        </w:rPr>
        <w:t>其中：政府采购货物支出</w:t>
      </w:r>
      <w:r>
        <w:rPr>
          <w:rFonts w:hint="eastAsia" w:ascii="仿宋_GB2312" w:hAnsi="仿宋_GB2312" w:eastAsia="仿宋_GB2312"/>
          <w:color w:val="auto"/>
          <w:sz w:val="32"/>
          <w:szCs w:val="30"/>
          <w:lang w:val="en-US" w:eastAsia="zh-CN"/>
        </w:rPr>
        <w:t>120.6</w:t>
      </w:r>
      <w:r>
        <w:rPr>
          <w:rFonts w:hint="eastAsia" w:ascii="仿宋_GB2312" w:hAnsi="仿宋_GB2312" w:eastAsia="仿宋_GB2312"/>
          <w:color w:val="auto"/>
          <w:sz w:val="32"/>
          <w:szCs w:val="30"/>
        </w:rPr>
        <w:t>万元、政府采购工程支出</w:t>
      </w:r>
      <w:r>
        <w:rPr>
          <w:rFonts w:hint="eastAsia" w:ascii="仿宋_GB2312" w:hAnsi="仿宋_GB2312" w:eastAsia="仿宋_GB2312"/>
          <w:color w:val="auto"/>
          <w:sz w:val="32"/>
          <w:szCs w:val="30"/>
          <w:lang w:val="en-US" w:eastAsia="zh-CN"/>
        </w:rPr>
        <w:t>0</w:t>
      </w:r>
      <w:r>
        <w:rPr>
          <w:rFonts w:hint="eastAsia" w:ascii="仿宋_GB2312" w:hAnsi="仿宋_GB2312" w:eastAsia="仿宋_GB2312"/>
          <w:color w:val="auto"/>
          <w:sz w:val="32"/>
          <w:szCs w:val="30"/>
        </w:rPr>
        <w:t>万元、政府采购服务支出</w:t>
      </w:r>
      <w:r>
        <w:rPr>
          <w:rFonts w:hint="eastAsia" w:ascii="仿宋_GB2312" w:hAnsi="仿宋_GB2312" w:eastAsia="仿宋_GB2312"/>
          <w:color w:val="auto"/>
          <w:sz w:val="32"/>
          <w:szCs w:val="30"/>
          <w:lang w:val="en-US" w:eastAsia="zh-CN"/>
        </w:rPr>
        <w:t>349</w:t>
      </w:r>
      <w:r>
        <w:rPr>
          <w:rFonts w:hint="eastAsia" w:ascii="仿宋_GB2312" w:hAnsi="仿宋_GB2312" w:eastAsia="仿宋_GB2312"/>
          <w:color w:val="auto"/>
          <w:sz w:val="32"/>
          <w:szCs w:val="30"/>
        </w:rPr>
        <w:t>万元</w:t>
      </w:r>
      <w:r>
        <w:rPr>
          <w:rFonts w:ascii="仿宋_GB2312" w:hAnsi="仿宋_GB2312" w:eastAsia="仿宋_GB2312" w:cs="仿宋_GB2312"/>
          <w:color w:val="auto"/>
          <w:kern w:val="0"/>
          <w:sz w:val="32"/>
          <w:szCs w:val="32"/>
          <w:shd w:val="clear" w:color="auto" w:fill="FFFFFF"/>
        </w:rPr>
        <w:t>。</w:t>
      </w:r>
      <w:r>
        <w:rPr>
          <w:rFonts w:ascii="仿宋_GB2312" w:hAnsi="仿宋_GB2312" w:eastAsia="仿宋_GB2312" w:cs="仿宋_GB2312"/>
          <w:color w:val="333333"/>
          <w:kern w:val="0"/>
          <w:sz w:val="32"/>
          <w:szCs w:val="32"/>
          <w:shd w:val="clear" w:color="auto" w:fill="FFFFFF"/>
        </w:rPr>
        <w:t>具体内容见下表。</w:t>
      </w:r>
    </w:p>
    <w:bookmarkEnd w:id="0"/>
    <w:p>
      <w:pPr>
        <w:autoSpaceDE w:val="0"/>
        <w:autoSpaceDN w:val="0"/>
        <w:snapToGrid w:val="0"/>
        <w:spacing w:line="520" w:lineRule="exact"/>
        <w:jc w:val="center"/>
        <w:rPr>
          <w:rFonts w:ascii="仿宋_GB2312" w:hAnsi="仿宋_GB2312" w:eastAsia="仿宋_GB2312" w:cs="仿宋_GB2312"/>
          <w:color w:val="FF0000"/>
          <w:kern w:val="0"/>
          <w:sz w:val="32"/>
          <w:szCs w:val="32"/>
          <w:shd w:val="clear" w:color="auto" w:fill="FFFFFF"/>
        </w:rPr>
      </w:pPr>
    </w:p>
    <w:tbl>
      <w:tblPr>
        <w:tblStyle w:val="5"/>
        <w:tblW w:w="14140" w:type="dxa"/>
        <w:jc w:val="center"/>
        <w:tblInd w:w="-624" w:type="dxa"/>
        <w:tblLayout w:type="fixed"/>
        <w:tblCellMar>
          <w:top w:w="0" w:type="dxa"/>
          <w:left w:w="108" w:type="dxa"/>
          <w:bottom w:w="0" w:type="dxa"/>
          <w:right w:w="108" w:type="dxa"/>
        </w:tblCellMar>
      </w:tblPr>
      <w:tblGrid>
        <w:gridCol w:w="2020"/>
        <w:gridCol w:w="2020"/>
        <w:gridCol w:w="236"/>
        <w:gridCol w:w="1784"/>
        <w:gridCol w:w="2020"/>
        <w:gridCol w:w="2020"/>
        <w:gridCol w:w="2020"/>
        <w:gridCol w:w="2020"/>
      </w:tblGrid>
      <w:tr>
        <w:tblPrEx>
          <w:tblLayout w:type="fixed"/>
          <w:tblCellMar>
            <w:top w:w="0" w:type="dxa"/>
            <w:left w:w="108" w:type="dxa"/>
            <w:bottom w:w="0" w:type="dxa"/>
            <w:right w:w="108" w:type="dxa"/>
          </w:tblCellMar>
        </w:tblPrEx>
        <w:trPr>
          <w:trHeight w:val="540" w:hRule="atLeast"/>
          <w:jc w:val="center"/>
        </w:trPr>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804" w:type="dxa"/>
            <w:gridSpan w:val="2"/>
            <w:tcBorders>
              <w:top w:val="nil"/>
              <w:left w:val="nil"/>
              <w:bottom w:val="nil"/>
              <w:right w:val="nil"/>
            </w:tcBorders>
            <w:shd w:val="clear" w:color="auto" w:fill="auto"/>
            <w:vAlign w:val="bottom"/>
          </w:tcPr>
          <w:p>
            <w:pPr>
              <w:widowControl/>
              <w:ind w:firstLine="440" w:firstLineChars="100"/>
              <w:rPr>
                <w:rFonts w:ascii="宋体" w:hAnsi="宋体" w:eastAsia="宋体" w:cs="Arial"/>
                <w:color w:val="000000"/>
                <w:kern w:val="0"/>
                <w:sz w:val="44"/>
                <w:szCs w:val="44"/>
              </w:rPr>
            </w:pPr>
            <w:r>
              <w:rPr>
                <w:rFonts w:hint="eastAsia" w:ascii="宋体" w:hAnsi="宋体" w:eastAsia="宋体" w:cs="Arial"/>
                <w:color w:val="000000"/>
                <w:kern w:val="0"/>
                <w:sz w:val="44"/>
                <w:szCs w:val="44"/>
              </w:rPr>
              <w:t>政府采购情况表</w:t>
            </w: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jc w:val="center"/>
        </w:trPr>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jc w:val="center"/>
        </w:trPr>
        <w:tc>
          <w:tcPr>
            <w:tcW w:w="6060" w:type="dxa"/>
            <w:gridSpan w:val="4"/>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编制单位：廊坊市三河市食品药品监督管理局(本级)</w:t>
            </w:r>
          </w:p>
        </w:tc>
        <w:tc>
          <w:tcPr>
            <w:tcW w:w="202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2016年度</w:t>
            </w: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jc w:val="center"/>
        </w:trPr>
        <w:tc>
          <w:tcPr>
            <w:tcW w:w="2020" w:type="dxa"/>
            <w:vMerge w:val="restart"/>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2120" w:type="dxa"/>
            <w:gridSpan w:val="7"/>
            <w:tcBorders>
              <w:top w:val="single" w:color="000000" w:sz="8" w:space="0"/>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采购计划金额</w:t>
            </w:r>
          </w:p>
        </w:tc>
      </w:tr>
      <w:tr>
        <w:tblPrEx>
          <w:tblLayout w:type="fixed"/>
          <w:tblCellMar>
            <w:top w:w="0" w:type="dxa"/>
            <w:left w:w="108" w:type="dxa"/>
            <w:bottom w:w="0" w:type="dxa"/>
            <w:right w:w="108" w:type="dxa"/>
          </w:tblCellMar>
        </w:tblPrEx>
        <w:trPr>
          <w:trHeight w:val="308" w:hRule="atLeast"/>
          <w:jc w:val="center"/>
        </w:trPr>
        <w:tc>
          <w:tcPr>
            <w:tcW w:w="20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总计</w:t>
            </w:r>
          </w:p>
        </w:tc>
        <w:tc>
          <w:tcPr>
            <w:tcW w:w="8080" w:type="dxa"/>
            <w:gridSpan w:val="5"/>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采购预算(财政性资金)</w:t>
            </w:r>
          </w:p>
        </w:tc>
        <w:tc>
          <w:tcPr>
            <w:tcW w:w="2020" w:type="dxa"/>
            <w:vMerge w:val="restart"/>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非财政性资金</w:t>
            </w:r>
          </w:p>
        </w:tc>
      </w:tr>
      <w:tr>
        <w:tblPrEx>
          <w:tblLayout w:type="fixed"/>
          <w:tblCellMar>
            <w:top w:w="0" w:type="dxa"/>
            <w:left w:w="108" w:type="dxa"/>
            <w:bottom w:w="0" w:type="dxa"/>
            <w:right w:w="108" w:type="dxa"/>
          </w:tblCellMar>
        </w:tblPrEx>
        <w:trPr>
          <w:trHeight w:val="308" w:hRule="atLeast"/>
          <w:jc w:val="center"/>
        </w:trPr>
        <w:tc>
          <w:tcPr>
            <w:tcW w:w="20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一般公共预算</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政府性基金预算</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其他资金</w:t>
            </w:r>
          </w:p>
        </w:tc>
        <w:tc>
          <w:tcPr>
            <w:tcW w:w="202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20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2020" w:type="dxa"/>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      计</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514.0</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514.0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514.0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货物</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154.0</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工程</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服务</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360.0</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360.0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360.0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vMerge w:val="restart"/>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2120" w:type="dxa"/>
            <w:gridSpan w:val="7"/>
            <w:tcBorders>
              <w:top w:val="single" w:color="000000" w:sz="4" w:space="0"/>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实际采购金额</w:t>
            </w:r>
          </w:p>
        </w:tc>
      </w:tr>
      <w:tr>
        <w:tblPrEx>
          <w:tblLayout w:type="fixed"/>
          <w:tblCellMar>
            <w:top w:w="0" w:type="dxa"/>
            <w:left w:w="108" w:type="dxa"/>
            <w:bottom w:w="0" w:type="dxa"/>
            <w:right w:w="108" w:type="dxa"/>
          </w:tblCellMar>
        </w:tblPrEx>
        <w:trPr>
          <w:trHeight w:val="308" w:hRule="atLeast"/>
          <w:jc w:val="center"/>
        </w:trPr>
        <w:tc>
          <w:tcPr>
            <w:tcW w:w="202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总计</w:t>
            </w:r>
          </w:p>
        </w:tc>
        <w:tc>
          <w:tcPr>
            <w:tcW w:w="8080" w:type="dxa"/>
            <w:gridSpan w:val="5"/>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采购预算(财政性资金)</w:t>
            </w:r>
          </w:p>
        </w:tc>
        <w:tc>
          <w:tcPr>
            <w:tcW w:w="2020" w:type="dxa"/>
            <w:vMerge w:val="restart"/>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非财政性资金</w:t>
            </w:r>
          </w:p>
        </w:tc>
      </w:tr>
      <w:tr>
        <w:tblPrEx>
          <w:tblLayout w:type="fixed"/>
          <w:tblCellMar>
            <w:top w:w="0" w:type="dxa"/>
            <w:left w:w="108" w:type="dxa"/>
            <w:bottom w:w="0" w:type="dxa"/>
            <w:right w:w="108" w:type="dxa"/>
          </w:tblCellMar>
        </w:tblPrEx>
        <w:trPr>
          <w:trHeight w:val="308" w:hRule="atLeast"/>
          <w:jc w:val="center"/>
        </w:trPr>
        <w:tc>
          <w:tcPr>
            <w:tcW w:w="202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一般公共预算</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政府性基金预算</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其他资金</w:t>
            </w:r>
          </w:p>
        </w:tc>
        <w:tc>
          <w:tcPr>
            <w:tcW w:w="202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c>
          <w:tcPr>
            <w:tcW w:w="20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8</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9</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10</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11</w:t>
            </w:r>
          </w:p>
        </w:tc>
        <w:tc>
          <w:tcPr>
            <w:tcW w:w="2020" w:type="dxa"/>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12</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      计</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469.6</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469.6</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469.6</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货物</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120.6</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120.6</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120.6</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工程</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single" w:color="000000" w:sz="8" w:space="0"/>
              <w:left w:val="single" w:color="000000" w:sz="8" w:space="0"/>
              <w:bottom w:val="single" w:color="000000" w:sz="8"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服务</w:t>
            </w:r>
          </w:p>
        </w:tc>
        <w:tc>
          <w:tcPr>
            <w:tcW w:w="2020" w:type="dxa"/>
            <w:tcBorders>
              <w:top w:val="single" w:color="000000" w:sz="8" w:space="0"/>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349.0</w:t>
            </w:r>
          </w:p>
        </w:tc>
        <w:tc>
          <w:tcPr>
            <w:tcW w:w="2020" w:type="dxa"/>
            <w:gridSpan w:val="2"/>
            <w:tcBorders>
              <w:top w:val="single" w:color="000000" w:sz="8" w:space="0"/>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349.0</w:t>
            </w:r>
          </w:p>
        </w:tc>
        <w:tc>
          <w:tcPr>
            <w:tcW w:w="2020" w:type="dxa"/>
            <w:tcBorders>
              <w:top w:val="single" w:color="000000" w:sz="8" w:space="0"/>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349.0</w:t>
            </w:r>
          </w:p>
        </w:tc>
        <w:tc>
          <w:tcPr>
            <w:tcW w:w="2020" w:type="dxa"/>
            <w:tcBorders>
              <w:top w:val="single" w:color="000000" w:sz="8" w:space="0"/>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single" w:color="000000" w:sz="8" w:space="0"/>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bl>
    <w:p>
      <w:pPr>
        <w:spacing w:line="520" w:lineRule="exact"/>
        <w:ind w:firstLine="640"/>
        <w:rPr>
          <w:rFonts w:eastAsia="仿宋_GB2312"/>
          <w:sz w:val="32"/>
          <w:szCs w:val="32"/>
        </w:rPr>
      </w:pPr>
      <w:r>
        <w:rPr>
          <w:rFonts w:hint="eastAsia" w:ascii="楷体_GB2312" w:hAnsi="黑体" w:eastAsia="楷体_GB2312" w:cs="黑体"/>
          <w:b/>
          <w:sz w:val="32"/>
          <w:szCs w:val="32"/>
        </w:rPr>
        <w:t>（九）国有资产信息</w:t>
      </w:r>
    </w:p>
    <w:p>
      <w:pPr>
        <w:spacing w:line="520" w:lineRule="exact"/>
        <w:ind w:firstLine="640"/>
        <w:rPr>
          <w:rFonts w:eastAsia="仿宋_GB2312"/>
          <w:color w:val="FF0000"/>
          <w:sz w:val="32"/>
          <w:szCs w:val="32"/>
        </w:rPr>
      </w:pPr>
      <w:r>
        <w:rPr>
          <w:rFonts w:hint="eastAsia" w:eastAsia="仿宋_GB2312"/>
          <w:sz w:val="32"/>
          <w:szCs w:val="32"/>
        </w:rPr>
        <w:t>我部门（含所属事业单位）上年末固定资产金额为236.73万元，本年度拟购置固定资产539.06万元，主要为计算机设备、打印设备、空调、办公家具、食品检验检测设备等，已列入政府采购预算，详见下表。</w:t>
      </w:r>
    </w:p>
    <w:p>
      <w:pPr>
        <w:spacing w:line="520" w:lineRule="exact"/>
        <w:ind w:firstLine="640"/>
        <w:rPr>
          <w:rFonts w:eastAsia="仿宋_GB2312"/>
          <w:color w:val="FF0000"/>
          <w:sz w:val="32"/>
          <w:szCs w:val="32"/>
        </w:rPr>
      </w:pPr>
    </w:p>
    <w:tbl>
      <w:tblPr>
        <w:tblStyle w:val="5"/>
        <w:tblW w:w="8900" w:type="dxa"/>
        <w:jc w:val="center"/>
        <w:tblInd w:w="93" w:type="dxa"/>
        <w:tblLayout w:type="fixed"/>
        <w:tblCellMar>
          <w:top w:w="0" w:type="dxa"/>
          <w:left w:w="108" w:type="dxa"/>
          <w:bottom w:w="0" w:type="dxa"/>
          <w:right w:w="108" w:type="dxa"/>
        </w:tblCellMar>
      </w:tblPr>
      <w:tblGrid>
        <w:gridCol w:w="3449"/>
        <w:gridCol w:w="2081"/>
        <w:gridCol w:w="3370"/>
      </w:tblGrid>
      <w:tr>
        <w:tblPrEx>
          <w:tblLayout w:type="fixed"/>
          <w:tblCellMar>
            <w:top w:w="0" w:type="dxa"/>
            <w:left w:w="108" w:type="dxa"/>
            <w:bottom w:w="0" w:type="dxa"/>
            <w:right w:w="108" w:type="dxa"/>
          </w:tblCellMar>
        </w:tblPrEx>
        <w:trPr>
          <w:trHeight w:val="575" w:hRule="atLeast"/>
          <w:jc w:val="center"/>
        </w:trPr>
        <w:tc>
          <w:tcPr>
            <w:tcW w:w="8900" w:type="dxa"/>
            <w:gridSpan w:val="3"/>
            <w:tcBorders>
              <w:top w:val="nil"/>
              <w:left w:val="nil"/>
              <w:bottom w:val="nil"/>
              <w:right w:val="nil"/>
            </w:tcBorders>
            <w:vAlign w:val="center"/>
          </w:tcPr>
          <w:p>
            <w:pPr>
              <w:widowControl/>
              <w:spacing w:line="520" w:lineRule="exact"/>
              <w:jc w:val="center"/>
              <w:rPr>
                <w:rFonts w:ascii="宋体" w:hAnsi="宋体" w:cs="宋体"/>
                <w:b/>
                <w:bCs/>
                <w:kern w:val="0"/>
                <w:sz w:val="28"/>
                <w:szCs w:val="28"/>
              </w:rPr>
            </w:pPr>
            <w:r>
              <w:rPr>
                <w:rFonts w:hint="eastAsia" w:ascii="宋体" w:hAnsi="宋体" w:cs="宋体"/>
                <w:b/>
                <w:bCs/>
                <w:kern w:val="0"/>
                <w:sz w:val="28"/>
                <w:szCs w:val="28"/>
              </w:rPr>
              <w:t>三河市食品药品监督管理局固定资产占用情况表</w:t>
            </w:r>
          </w:p>
        </w:tc>
      </w:tr>
      <w:tr>
        <w:tblPrEx>
          <w:tblLayout w:type="fixed"/>
          <w:tblCellMar>
            <w:top w:w="0" w:type="dxa"/>
            <w:left w:w="108" w:type="dxa"/>
            <w:bottom w:w="0" w:type="dxa"/>
            <w:right w:w="108" w:type="dxa"/>
          </w:tblCellMar>
        </w:tblPrEx>
        <w:trPr>
          <w:trHeight w:val="493" w:hRule="atLeast"/>
          <w:jc w:val="center"/>
        </w:trPr>
        <w:tc>
          <w:tcPr>
            <w:tcW w:w="5530" w:type="dxa"/>
            <w:gridSpan w:val="2"/>
            <w:tcBorders>
              <w:top w:val="nil"/>
              <w:left w:val="nil"/>
              <w:bottom w:val="nil"/>
              <w:right w:val="nil"/>
            </w:tcBorders>
            <w:vAlign w:val="center"/>
          </w:tcPr>
          <w:p>
            <w:pPr>
              <w:widowControl/>
              <w:spacing w:line="520" w:lineRule="exact"/>
              <w:jc w:val="left"/>
              <w:rPr>
                <w:kern w:val="0"/>
                <w:sz w:val="22"/>
              </w:rPr>
            </w:pPr>
            <w:r>
              <w:rPr>
                <w:rFonts w:hint="eastAsia" w:ascii="宋体" w:hAnsi="宋体" w:cs="宋体"/>
                <w:kern w:val="0"/>
                <w:sz w:val="22"/>
              </w:rPr>
              <w:t>编制部门：三河市食品药品监督管理局</w:t>
            </w:r>
          </w:p>
        </w:tc>
        <w:tc>
          <w:tcPr>
            <w:tcW w:w="3370" w:type="dxa"/>
            <w:tcBorders>
              <w:top w:val="nil"/>
              <w:left w:val="nil"/>
              <w:bottom w:val="nil"/>
              <w:right w:val="nil"/>
            </w:tcBorders>
            <w:vAlign w:val="center"/>
          </w:tcPr>
          <w:p>
            <w:pPr>
              <w:widowControl/>
              <w:spacing w:line="520" w:lineRule="exact"/>
              <w:jc w:val="left"/>
              <w:rPr>
                <w:kern w:val="0"/>
                <w:sz w:val="22"/>
              </w:rPr>
            </w:pPr>
            <w:r>
              <w:rPr>
                <w:kern w:val="0"/>
                <w:sz w:val="22"/>
              </w:rPr>
              <w:t xml:space="preserve">截止时间：2016年12月31日  </w:t>
            </w:r>
          </w:p>
        </w:tc>
      </w:tr>
      <w:tr>
        <w:tblPrEx>
          <w:tblLayout w:type="fixed"/>
          <w:tblCellMar>
            <w:top w:w="0" w:type="dxa"/>
            <w:left w:w="108" w:type="dxa"/>
            <w:bottom w:w="0" w:type="dxa"/>
            <w:right w:w="108" w:type="dxa"/>
          </w:tblCellMar>
        </w:tblPrEx>
        <w:trPr>
          <w:trHeight w:val="571" w:hRule="atLeast"/>
          <w:jc w:val="center"/>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项   目</w:t>
            </w:r>
          </w:p>
        </w:tc>
        <w:tc>
          <w:tcPr>
            <w:tcW w:w="2081"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价值（金额单位：万元）</w:t>
            </w:r>
          </w:p>
        </w:tc>
      </w:tr>
      <w:tr>
        <w:tblPrEx>
          <w:tblLayout w:type="fixed"/>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资产总额</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kern w:val="0"/>
                <w:sz w:val="22"/>
              </w:rPr>
              <w:t>——</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775.79</w:t>
            </w:r>
          </w:p>
        </w:tc>
      </w:tr>
      <w:tr>
        <w:tblPrEx>
          <w:tblLayout w:type="fixed"/>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1、房屋（平方米）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550</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95</w:t>
            </w:r>
          </w:p>
        </w:tc>
      </w:tr>
      <w:tr>
        <w:tblPrEx>
          <w:tblLayout w:type="fixed"/>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kern w:val="0"/>
                <w:sz w:val="22"/>
              </w:rPr>
              <w:t xml:space="preserve">  </w:t>
            </w:r>
            <w:r>
              <w:rPr>
                <w:rFonts w:hint="eastAsia"/>
                <w:kern w:val="0"/>
                <w:sz w:val="22"/>
              </w:rPr>
              <w:t xml:space="preserve">  其中：办公用房（平方米）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550</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95</w:t>
            </w:r>
          </w:p>
        </w:tc>
      </w:tr>
      <w:tr>
        <w:tblPrEx>
          <w:tblLayout w:type="fixed"/>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2、车辆（台、辆）</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2</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32.25</w:t>
            </w:r>
          </w:p>
        </w:tc>
      </w:tr>
      <w:tr>
        <w:tblPrEx>
          <w:tblLayout w:type="fixed"/>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3、单价在50万元以上的设备</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0</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0</w:t>
            </w:r>
          </w:p>
        </w:tc>
      </w:tr>
      <w:tr>
        <w:tblPrEx>
          <w:tblLayout w:type="fixed"/>
          <w:tblCellMar>
            <w:top w:w="0" w:type="dxa"/>
            <w:left w:w="108" w:type="dxa"/>
            <w:bottom w:w="0" w:type="dxa"/>
            <w:right w:w="108" w:type="dxa"/>
          </w:tblCellMar>
        </w:tblPrEx>
        <w:trPr>
          <w:trHeight w:val="613"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4、其他固定资产</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kern w:val="0"/>
                <w:sz w:val="22"/>
              </w:rPr>
              <w:t>——</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648.54</w:t>
            </w:r>
          </w:p>
        </w:tc>
      </w:tr>
    </w:tbl>
    <w:p>
      <w:pPr>
        <w:numPr>
          <w:ilvl w:val="0"/>
          <w:numId w:val="3"/>
        </w:numPr>
        <w:autoSpaceDE w:val="0"/>
        <w:autoSpaceDN w:val="0"/>
        <w:adjustRightInd w:val="0"/>
        <w:spacing w:line="520" w:lineRule="exact"/>
        <w:ind w:firstLine="643" w:firstLineChars="200"/>
        <w:jc w:val="left"/>
        <w:rPr>
          <w:rFonts w:hint="eastAsia" w:ascii="楷体_GB2312" w:hAnsi="黑体" w:eastAsia="楷体_GB2312" w:cs="黑体"/>
          <w:b/>
          <w:color w:val="auto"/>
          <w:sz w:val="32"/>
          <w:szCs w:val="32"/>
        </w:rPr>
      </w:pPr>
      <w:r>
        <w:rPr>
          <w:rFonts w:ascii="楷体_GB2312" w:hAnsi="黑体" w:eastAsia="楷体_GB2312" w:cs="黑体"/>
          <w:b/>
          <w:color w:val="auto"/>
          <w:sz w:val="32"/>
          <w:szCs w:val="32"/>
        </w:rPr>
        <w:t>其他需要说明的情况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left="0" w:leftChars="0" w:right="0" w:rightChars="0" w:firstLine="640" w:firstLineChars="200"/>
        <w:jc w:val="left"/>
        <w:textAlignment w:val="auto"/>
        <w:outlineLvl w:val="9"/>
        <w:rPr>
          <w:rFonts w:hint="eastAsia" w:ascii="楷体_GB2312" w:hAnsi="黑体" w:eastAsia="楷体_GB2312" w:cs="黑体"/>
          <w:b w:val="0"/>
          <w:bCs/>
          <w:color w:val="auto"/>
          <w:sz w:val="32"/>
          <w:szCs w:val="32"/>
          <w:lang w:eastAsia="zh-CN"/>
        </w:rPr>
      </w:pPr>
      <w:r>
        <w:rPr>
          <w:rFonts w:hint="eastAsia" w:ascii="楷体_GB2312" w:hAnsi="黑体" w:eastAsia="楷体_GB2312" w:cs="黑体"/>
          <w:b w:val="0"/>
          <w:bCs/>
          <w:color w:val="auto"/>
          <w:sz w:val="32"/>
          <w:szCs w:val="32"/>
          <w:lang w:eastAsia="zh-CN"/>
        </w:rPr>
        <w:t>我单位无政府性基金预算财政拨款收入支出，无国有资本经营预算财政拨款收入支出。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left="0" w:leftChars="0" w:right="0" w:rightChars="0" w:firstLine="640" w:firstLineChars="200"/>
        <w:jc w:val="left"/>
        <w:textAlignment w:val="auto"/>
        <w:outlineLvl w:val="9"/>
        <w:rPr>
          <w:rFonts w:eastAsia="黑体"/>
          <w:sz w:val="32"/>
          <w:szCs w:val="32"/>
        </w:rPr>
      </w:pPr>
      <w:r>
        <w:rPr>
          <w:rFonts w:hint="eastAsia" w:eastAsia="黑体"/>
          <w:sz w:val="32"/>
          <w:szCs w:val="32"/>
        </w:rPr>
        <w:t>四、</w:t>
      </w:r>
      <w:r>
        <w:rPr>
          <w:rFonts w:eastAsia="黑体"/>
          <w:sz w:val="32"/>
          <w:szCs w:val="32"/>
        </w:rPr>
        <w:t>名词解释</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1、一般</w:t>
      </w: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共预算拨款收入：指三河市财政当年拨付的资金。</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2、事业收入：指事业单位开展专业业务活动及辅助活动所取得的收入。</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3、基本支出：指为保障机构正常运转、完成日常工作任务而发生的人员支出和公用支出。</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4、项目支出：指在基本支出之外为完成特定行政任务和事业发展目标所发生的支出。</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三公”经费：纳入三河市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20" w:lineRule="exact"/>
        <w:jc w:val="cente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小标宋">
    <w:altName w:val="黑体"/>
    <w:panose1 w:val="03000509000000000000"/>
    <w:charset w:val="86"/>
    <w:family w:val="script"/>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文本框 1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ohpmqLgBAABV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D4D1"/>
    <w:multiLevelType w:val="singleLevel"/>
    <w:tmpl w:val="58DCD4D1"/>
    <w:lvl w:ilvl="0" w:tentative="0">
      <w:start w:val="1"/>
      <w:numFmt w:val="chineseCounting"/>
      <w:suff w:val="nothing"/>
      <w:lvlText w:val="%1、"/>
      <w:lvlJc w:val="left"/>
    </w:lvl>
  </w:abstractNum>
  <w:abstractNum w:abstractNumId="1">
    <w:nsid w:val="59F2EB57"/>
    <w:multiLevelType w:val="singleLevel"/>
    <w:tmpl w:val="59F2EB57"/>
    <w:lvl w:ilvl="0" w:tentative="0">
      <w:start w:val="1"/>
      <w:numFmt w:val="chineseCounting"/>
      <w:suff w:val="nothing"/>
      <w:lvlText w:val="（%1）"/>
      <w:lvlJc w:val="left"/>
    </w:lvl>
  </w:abstractNum>
  <w:abstractNum w:abstractNumId="2">
    <w:nsid w:val="59F7D505"/>
    <w:multiLevelType w:val="singleLevel"/>
    <w:tmpl w:val="59F7D505"/>
    <w:lvl w:ilvl="0" w:tentative="0">
      <w:start w:val="10"/>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FE54DB"/>
    <w:rsid w:val="000322B5"/>
    <w:rsid w:val="00281D32"/>
    <w:rsid w:val="002A2673"/>
    <w:rsid w:val="002D3225"/>
    <w:rsid w:val="002E2A3A"/>
    <w:rsid w:val="00362513"/>
    <w:rsid w:val="003968C7"/>
    <w:rsid w:val="003B6242"/>
    <w:rsid w:val="005766DB"/>
    <w:rsid w:val="006005A2"/>
    <w:rsid w:val="00615A25"/>
    <w:rsid w:val="006F1451"/>
    <w:rsid w:val="00786C3B"/>
    <w:rsid w:val="007E34D7"/>
    <w:rsid w:val="00897371"/>
    <w:rsid w:val="008A7142"/>
    <w:rsid w:val="008B0565"/>
    <w:rsid w:val="008B7818"/>
    <w:rsid w:val="0092170D"/>
    <w:rsid w:val="00934B3E"/>
    <w:rsid w:val="00994506"/>
    <w:rsid w:val="009D4483"/>
    <w:rsid w:val="00AE09A5"/>
    <w:rsid w:val="00B13354"/>
    <w:rsid w:val="00B65846"/>
    <w:rsid w:val="00D70B89"/>
    <w:rsid w:val="00DF1F3C"/>
    <w:rsid w:val="00E963FE"/>
    <w:rsid w:val="00EC354A"/>
    <w:rsid w:val="00F174FC"/>
    <w:rsid w:val="013A6240"/>
    <w:rsid w:val="01B003BB"/>
    <w:rsid w:val="03AD74BB"/>
    <w:rsid w:val="06777E86"/>
    <w:rsid w:val="09E95656"/>
    <w:rsid w:val="10F038EC"/>
    <w:rsid w:val="15541C0E"/>
    <w:rsid w:val="168101DF"/>
    <w:rsid w:val="1D5B6C78"/>
    <w:rsid w:val="24721A19"/>
    <w:rsid w:val="248540E7"/>
    <w:rsid w:val="252B7214"/>
    <w:rsid w:val="2A8F283C"/>
    <w:rsid w:val="2D10755C"/>
    <w:rsid w:val="2E88062A"/>
    <w:rsid w:val="378531FA"/>
    <w:rsid w:val="3A8A43EE"/>
    <w:rsid w:val="3F75551C"/>
    <w:rsid w:val="428C42F1"/>
    <w:rsid w:val="44D863AD"/>
    <w:rsid w:val="460B25C6"/>
    <w:rsid w:val="494A6B71"/>
    <w:rsid w:val="4CA90201"/>
    <w:rsid w:val="4EAA10A2"/>
    <w:rsid w:val="56253231"/>
    <w:rsid w:val="582A2217"/>
    <w:rsid w:val="58FE54DB"/>
    <w:rsid w:val="5DF5167D"/>
    <w:rsid w:val="61B1543F"/>
    <w:rsid w:val="69511CE0"/>
    <w:rsid w:val="6F9E6C70"/>
    <w:rsid w:val="70EE5D66"/>
    <w:rsid w:val="719A71E8"/>
    <w:rsid w:val="751627CC"/>
    <w:rsid w:val="79A8781B"/>
    <w:rsid w:val="79CF3F31"/>
    <w:rsid w:val="7BE8294E"/>
    <w:rsid w:val="7F7767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651</Words>
  <Characters>3715</Characters>
  <Lines>30</Lines>
  <Paragraphs>8</Paragraphs>
  <ScaleCrop>false</ScaleCrop>
  <LinksUpToDate>false</LinksUpToDate>
  <CharactersWithSpaces>4358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2017-09-04T06:26:00Z</dcterms:created>
  <dc:creator>Administrator</dc:creator>
  <cp:lastModifiedBy>Administrator</cp:lastModifiedBy>
  <dcterms:modified xsi:type="dcterms:W3CDTF">2017-11-14T09:02:46Z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